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为中心组织经济工作，经济持续健康快速发展，呈现结构优、增速快、效益好、惠民生的稳中向快、快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（一）规模工业快速增长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</w:t>
      </w:r>
      <w:r>
        <w:rPr>
          <w:rFonts w:hint="eastAsia" w:eastAsia="仿宋_GB2312"/>
          <w:b/>
          <w:sz w:val="20"/>
          <w:szCs w:val="22"/>
          <w:lang w:eastAsia="zh-CN"/>
        </w:rPr>
        <w:t>-11月，全县完成规模工业增加值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1480318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11</w:t>
      </w:r>
      <w:r>
        <w:rPr>
          <w:rFonts w:hint="eastAsia" w:eastAsia="仿宋_GB2312"/>
          <w:b/>
          <w:sz w:val="20"/>
          <w:szCs w:val="22"/>
          <w:lang w:eastAsia="zh-CN"/>
        </w:rPr>
        <w:t>%，</w:t>
      </w:r>
      <w:r>
        <w:rPr>
          <w:rFonts w:hint="eastAsia" w:eastAsia="仿宋_GB2312"/>
          <w:b/>
          <w:sz w:val="20"/>
          <w:szCs w:val="22"/>
          <w:lang w:val="en-US" w:eastAsia="zh-CN"/>
        </w:rPr>
        <w:t>与1-10月持平，其中工业用电量累计增速10.9%，工业增值税当月增速30.2%。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（二）投资驱动活力增强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1-11月，全县完成固定资产投资总额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2255731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20.5</w:t>
      </w:r>
      <w:r>
        <w:rPr>
          <w:rFonts w:hint="eastAsia" w:eastAsia="仿宋_GB2312"/>
          <w:b/>
          <w:sz w:val="20"/>
          <w:szCs w:val="22"/>
          <w:lang w:eastAsia="zh-CN"/>
        </w:rPr>
        <w:t>%，</w:t>
      </w:r>
      <w:r>
        <w:rPr>
          <w:rFonts w:hint="eastAsia" w:eastAsia="仿宋_GB2312"/>
          <w:b/>
          <w:sz w:val="20"/>
          <w:szCs w:val="22"/>
          <w:lang w:val="en-US" w:eastAsia="zh-CN"/>
        </w:rPr>
        <w:t>与1-10月持平。从结构来看，</w:t>
      </w:r>
      <w:r>
        <w:rPr>
          <w:rFonts w:hint="eastAsia" w:eastAsia="仿宋_GB2312"/>
          <w:b/>
          <w:sz w:val="20"/>
          <w:szCs w:val="22"/>
          <w:lang w:eastAsia="zh-CN"/>
        </w:rPr>
        <w:t>工业投资完成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881663万元，</w:t>
      </w:r>
      <w:r>
        <w:rPr>
          <w:rFonts w:hint="eastAsia" w:eastAsia="仿宋_GB2312"/>
          <w:b/>
          <w:sz w:val="20"/>
          <w:szCs w:val="22"/>
          <w:lang w:eastAsia="zh-CN"/>
        </w:rPr>
        <w:t>占总投资比重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39%，高新投资141694万元，占总投资比重达6.3%，民间投资1497633万元，同比增长36.2%，占总投资比重66.4%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（三）消费需求较为活跃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  <w:sectPr>
          <w:footerReference r:id="rId3" w:type="default"/>
          <w:pgSz w:w="8419" w:h="11906"/>
          <w:pgMar w:top="1701" w:right="2699" w:bottom="1417" w:left="340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sz w:val="20"/>
          <w:szCs w:val="22"/>
          <w:lang w:eastAsia="zh-CN"/>
        </w:rPr>
        <w:t>1-11月，全县实现社会消费品零售总额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1685755</w:t>
      </w:r>
      <w:r>
        <w:rPr>
          <w:rFonts w:hint="eastAsia" w:eastAsia="仿宋_GB2312"/>
          <w:b/>
          <w:sz w:val="20"/>
          <w:szCs w:val="22"/>
          <w:lang w:eastAsia="zh-CN"/>
        </w:rPr>
        <w:t>万元，同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13.0</w:t>
      </w:r>
      <w:r>
        <w:rPr>
          <w:rFonts w:hint="eastAsia" w:eastAsia="仿宋_GB2312"/>
          <w:b/>
          <w:sz w:val="20"/>
          <w:szCs w:val="22"/>
          <w:lang w:eastAsia="zh-CN"/>
        </w:rPr>
        <w:t>%，</w:t>
      </w:r>
      <w:r>
        <w:rPr>
          <w:rFonts w:hint="eastAsia" w:eastAsia="仿宋_GB2312"/>
          <w:b/>
          <w:sz w:val="20"/>
          <w:szCs w:val="22"/>
          <w:lang w:val="en-US" w:eastAsia="zh-CN"/>
        </w:rPr>
        <w:t>较1-10月下降0.2个百分点。其中城镇实现1493182万元，增长12.9%，乡村实现192572万元，增长13.7%。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（四）财政收入平稳增长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全县完成财政总收入（不包括基金收入）</w:t>
      </w:r>
      <w:r>
        <w:rPr>
          <w:rFonts w:hint="eastAsia" w:eastAsia="仿宋_GB2312"/>
          <w:b/>
          <w:sz w:val="20"/>
          <w:szCs w:val="22"/>
          <w:lang w:val="en-US" w:eastAsia="zh-CN"/>
        </w:rPr>
        <w:t>204621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7.45</w:t>
      </w:r>
      <w:r>
        <w:rPr>
          <w:rFonts w:hint="eastAsia" w:eastAsia="仿宋_GB2312"/>
          <w:b/>
          <w:sz w:val="20"/>
          <w:szCs w:val="22"/>
          <w:lang w:eastAsia="zh-CN"/>
        </w:rPr>
        <w:t>%，一般预算收入完成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123969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4.62</w:t>
      </w:r>
      <w:r>
        <w:rPr>
          <w:rFonts w:hint="eastAsia" w:eastAsia="仿宋_GB2312"/>
          <w:b/>
          <w:sz w:val="20"/>
          <w:szCs w:val="22"/>
          <w:lang w:eastAsia="zh-CN"/>
        </w:rPr>
        <w:t>%，非税收入占总收入比重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76.18%。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（五）金融信贷运行稳健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1-11月，</w:t>
      </w:r>
      <w:r>
        <w:rPr>
          <w:rFonts w:hint="eastAsia" w:eastAsia="仿宋_GB2312"/>
          <w:b/>
          <w:sz w:val="20"/>
          <w:szCs w:val="22"/>
          <w:lang w:eastAsia="zh-CN"/>
        </w:rPr>
        <w:t>全县金融机构各项存款余额4693874万元，比上月增加11209万元，增幅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0.24</w:t>
      </w:r>
      <w:r>
        <w:rPr>
          <w:rFonts w:hint="eastAsia" w:eastAsia="仿宋_GB2312"/>
          <w:b/>
          <w:sz w:val="20"/>
          <w:szCs w:val="22"/>
          <w:lang w:eastAsia="zh-CN"/>
        </w:rPr>
        <w:t>%，比年初增长128439万元，增幅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2.81</w:t>
      </w:r>
      <w:r>
        <w:rPr>
          <w:rFonts w:hint="eastAsia" w:eastAsia="仿宋_GB2312"/>
          <w:b/>
          <w:sz w:val="20"/>
          <w:szCs w:val="22"/>
          <w:lang w:eastAsia="zh-CN"/>
        </w:rPr>
        <w:t>%，去年同期比年初增加757066万元。贷款余额2386318万元，比上月减少27087万元，增幅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1.15</w:t>
      </w:r>
      <w:r>
        <w:rPr>
          <w:rFonts w:hint="eastAsia" w:eastAsia="仿宋_GB2312"/>
          <w:b/>
          <w:sz w:val="20"/>
          <w:szCs w:val="22"/>
          <w:lang w:eastAsia="zh-CN"/>
        </w:rPr>
        <w:t>%，比年初增加155140万元，增幅</w:t>
      </w:r>
      <w:r>
        <w:rPr>
          <w:rFonts w:hint="eastAsia" w:eastAsia="仿宋_GB2312"/>
          <w:b/>
          <w:sz w:val="20"/>
          <w:szCs w:val="22"/>
          <w:lang w:val="en-US" w:eastAsia="zh-CN"/>
        </w:rPr>
        <w:t>6.95</w:t>
      </w:r>
      <w:r>
        <w:rPr>
          <w:rFonts w:hint="eastAsia" w:eastAsia="仿宋_GB2312"/>
          <w:b/>
          <w:sz w:val="20"/>
          <w:szCs w:val="22"/>
          <w:lang w:eastAsia="zh-CN"/>
        </w:rPr>
        <w:t>%，去年同期比年初增加数为412615万元。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340" w:bottom="1417" w:left="2699" w:header="851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00" w:type="dxa"/>
        <w:jc w:val="center"/>
        <w:tblInd w:w="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Layout w:type="fixed"/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Layout w:type="fixed"/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footerReference r:id="rId4" w:type="default"/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-15.9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59" w:type="dxa"/>
        <w:jc w:val="center"/>
        <w:tblInd w:w="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80"/>
        <w:gridCol w:w="1199"/>
        <w:gridCol w:w="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8790694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1162832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668596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126745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1685755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697635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868612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936628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807315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362481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504016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265463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704616 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-8.38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-13.74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-13.05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-23.22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-28.82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-10.40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-37.92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-16.53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66" w:type="dxa"/>
        <w:jc w:val="center"/>
        <w:tblInd w:w="8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807364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592968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127600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75424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53772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40889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171336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138467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72585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74101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60257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50211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34855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68687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48530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58029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48271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49430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37065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24541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-11.53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-13.50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-0.96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-32.29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-7.02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tbl>
      <w:tblPr>
        <w:tblStyle w:val="6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工业投资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903.9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-28.6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 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000000"/>
          <w:kern w:val="2"/>
          <w:sz w:val="20"/>
          <w:szCs w:val="20"/>
          <w:lang w:val="zh-CN"/>
        </w:r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5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00" w:type="dxa"/>
        <w:jc w:val="center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1148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5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第二产业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#</w:t>
            </w:r>
            <w:r>
              <w:rPr>
                <w:rFonts w:eastAsia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6460568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1、增加值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1480318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1425787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外商及港澳台企业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其它类型企业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38762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-43.58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总计中：轻工业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重工业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402664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1269254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eastAsia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6431663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6"/>
        <w:tblW w:w="542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250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5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9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lang w:val="en-US" w:eastAsia="zh-CN"/>
              </w:rPr>
              <w:t>五、全社会用电总量(万千瓦时)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143092 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57183</w:t>
            </w:r>
          </w:p>
        </w:tc>
        <w:tc>
          <w:tcPr>
            <w:tcW w:w="1236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2255731</w:t>
            </w:r>
          </w:p>
        </w:tc>
        <w:tc>
          <w:tcPr>
            <w:tcW w:w="1236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其中：房地产投资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1685755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城镇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1493182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192572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168289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20"/>
              </w:rPr>
              <w:t>零售业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1331652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33511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</w:t>
            </w:r>
            <w:r>
              <w:rPr>
                <w:rFonts w:eastAsia="仿宋_GB2312"/>
                <w:b/>
                <w:color w:val="auto"/>
                <w:sz w:val="20"/>
              </w:rPr>
              <w:t>餐饮业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152303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总计中：限额以上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855633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限额以下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830121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其中：进口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出口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78092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6"/>
        <w:tblW w:w="5480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1317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2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  <w:jc w:val="center"/>
        </w:trPr>
        <w:tc>
          <w:tcPr>
            <w:tcW w:w="2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2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204621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155875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48746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123969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77116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省级收入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中央收入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64934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国税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97893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地税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62852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>2、财政</w:t>
            </w:r>
            <w:r>
              <w:rPr>
                <w:rFonts w:hint="eastAsia" w:eastAsia="仿宋_GB2312"/>
                <w:b/>
                <w:color w:val="auto"/>
                <w:sz w:val="20"/>
                <w:lang w:eastAsia="zh-CN"/>
              </w:rPr>
              <w:t>总支出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692966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905" w:type="dxa"/>
            <w:tcBorders>
              <w:right w:val="single" w:color="auto" w:sz="4" w:space="0"/>
            </w:tcBorders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638059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>政府性基金预算支出</w:t>
            </w:r>
            <w:bookmarkStart w:id="0" w:name="_GoBack"/>
            <w:bookmarkEnd w:id="0"/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54907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widowControl/>
        <w:spacing w:line="400" w:lineRule="exact"/>
        <w:jc w:val="both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66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263"/>
        <w:gridCol w:w="1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1538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76385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2336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156830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9.89%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pPr w:leftFromText="180" w:rightFromText="180" w:vertAnchor="text" w:horzAnchor="page" w:tblpX="2715" w:tblpY="52"/>
        <w:tblOverlap w:val="never"/>
        <w:tblW w:w="5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055"/>
        <w:gridCol w:w="908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5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4693874 </w:t>
            </w:r>
          </w:p>
        </w:tc>
        <w:tc>
          <w:tcPr>
            <w:tcW w:w="90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128439 </w:t>
            </w:r>
          </w:p>
        </w:tc>
        <w:tc>
          <w:tcPr>
            <w:tcW w:w="89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757066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2164658 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102465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257416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1173269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46044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172599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eastAsia="仿宋_GB2312"/>
                <w:color w:val="auto"/>
              </w:rPr>
              <w:t>住户存款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3584154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339721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357498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非金融企业存款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626538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-136534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299651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广义政府存款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482783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-74874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2386318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155140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412615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985405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-4033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159597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705248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93146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eastAsia="仿宋_GB2312"/>
                <w:color w:val="auto"/>
              </w:rPr>
              <w:t>住户贷款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1225909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90977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190575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576836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39843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eastAsia="仿宋_GB2312"/>
                <w:color w:val="auto"/>
              </w:rPr>
              <w:t>经营贷款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649073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1160409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64163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222040 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8419" w:h="11906"/>
      <w:pgMar w:top="1701" w:right="340" w:bottom="1417" w:left="2699" w:header="567" w:footer="1417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914"/>
    <w:rsid w:val="00217AE9"/>
    <w:rsid w:val="04D54552"/>
    <w:rsid w:val="08402229"/>
    <w:rsid w:val="08BF11E4"/>
    <w:rsid w:val="08EE58C2"/>
    <w:rsid w:val="09BE4B56"/>
    <w:rsid w:val="0B2531DC"/>
    <w:rsid w:val="0C2B6485"/>
    <w:rsid w:val="0C5C619C"/>
    <w:rsid w:val="0D806369"/>
    <w:rsid w:val="0DAD7622"/>
    <w:rsid w:val="146F4BEC"/>
    <w:rsid w:val="1737135E"/>
    <w:rsid w:val="1A6A2537"/>
    <w:rsid w:val="1FDA3E43"/>
    <w:rsid w:val="203B6AC5"/>
    <w:rsid w:val="2048656B"/>
    <w:rsid w:val="22B26FF0"/>
    <w:rsid w:val="258A02D3"/>
    <w:rsid w:val="265A0FFA"/>
    <w:rsid w:val="28097CF3"/>
    <w:rsid w:val="2A8B0128"/>
    <w:rsid w:val="2B3E4D7A"/>
    <w:rsid w:val="2CB57E54"/>
    <w:rsid w:val="2DB97987"/>
    <w:rsid w:val="30060363"/>
    <w:rsid w:val="30104CDD"/>
    <w:rsid w:val="33CF74B4"/>
    <w:rsid w:val="35245044"/>
    <w:rsid w:val="3670418F"/>
    <w:rsid w:val="39AD1640"/>
    <w:rsid w:val="3C1C5F8C"/>
    <w:rsid w:val="3E7F6025"/>
    <w:rsid w:val="3EBB2BFA"/>
    <w:rsid w:val="43AC2C75"/>
    <w:rsid w:val="463A4C1F"/>
    <w:rsid w:val="46F92E21"/>
    <w:rsid w:val="47057AE9"/>
    <w:rsid w:val="489521B4"/>
    <w:rsid w:val="520B3525"/>
    <w:rsid w:val="5234411B"/>
    <w:rsid w:val="5AE346E7"/>
    <w:rsid w:val="5C17457B"/>
    <w:rsid w:val="5E411CA3"/>
    <w:rsid w:val="603E45C2"/>
    <w:rsid w:val="60AF51DD"/>
    <w:rsid w:val="61F2665D"/>
    <w:rsid w:val="645B3CB0"/>
    <w:rsid w:val="67F81FF3"/>
    <w:rsid w:val="6D535020"/>
    <w:rsid w:val="6E9B214B"/>
    <w:rsid w:val="71D47CE5"/>
    <w:rsid w:val="733523DD"/>
    <w:rsid w:val="77B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56</TotalTime>
  <ScaleCrop>false</ScaleCrop>
  <LinksUpToDate>false</LinksUpToDate>
  <CharactersWithSpaces>7506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2018-12-26T08:28:00Z</cp:lastPrinted>
  <dcterms:modified xsi:type="dcterms:W3CDTF">2018-12-27T00:46:34Z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