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F902C2">
      <w:pPr>
        <w:jc w:val="center"/>
        <w:rPr>
          <w:rFonts w:hint="eastAsia" w:ascii="微软雅黑" w:hAnsi="微软雅黑" w:eastAsia="微软雅黑" w:cs="微软雅黑"/>
          <w:b/>
          <w:color w:val="FF0000"/>
          <w:sz w:val="72"/>
          <w:szCs w:val="72"/>
        </w:rPr>
      </w:pPr>
      <w:r>
        <w:rPr>
          <w:rFonts w:hint="eastAsia" w:ascii="微软雅黑" w:hAnsi="微软雅黑" w:eastAsia="微软雅黑" w:cs="微软雅黑"/>
          <w:b/>
          <w:color w:val="FF0000"/>
          <w:sz w:val="72"/>
          <w:szCs w:val="72"/>
        </w:rPr>
        <w:t>邵东市环境质量月报</w:t>
      </w:r>
    </w:p>
    <w:p w14:paraId="46574D0E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79132847">
      <w:pPr>
        <w:spacing w:line="500" w:lineRule="exact"/>
        <w:rPr>
          <w:rFonts w:hint="eastAsia" w:ascii="宋体" w:hAnsi="宋体"/>
          <w:b/>
          <w:color w:val="FF0000"/>
          <w:sz w:val="32"/>
          <w:szCs w:val="32"/>
          <w:u w:val="single"/>
        </w:rPr>
      </w:pPr>
      <w:r>
        <w:rPr>
          <w:rFonts w:hint="eastAsia" w:ascii="宋体" w:hAnsi="宋体"/>
          <w:b/>
          <w:color w:val="FF0000"/>
          <w:sz w:val="32"/>
          <w:szCs w:val="32"/>
          <w:u w:val="single"/>
        </w:rPr>
        <w:t>邵</w:t>
      </w:r>
      <w:r>
        <w:rPr>
          <w:rFonts w:hint="eastAsia" w:ascii="宋体" w:hAnsi="宋体"/>
          <w:b/>
          <w:color w:val="FF0000"/>
          <w:sz w:val="32"/>
          <w:szCs w:val="32"/>
          <w:u w:val="single"/>
          <w:lang w:eastAsia="zh-CN"/>
        </w:rPr>
        <w:t>阳市邵东生态环境</w:t>
      </w:r>
      <w:r>
        <w:rPr>
          <w:rFonts w:hint="eastAsia" w:ascii="宋体" w:hAnsi="宋体"/>
          <w:b/>
          <w:color w:val="FF0000"/>
          <w:sz w:val="32"/>
          <w:szCs w:val="32"/>
          <w:u w:val="single"/>
        </w:rPr>
        <w:t>监测站</w:t>
      </w:r>
      <w:r>
        <w:rPr>
          <w:rFonts w:hint="eastAsia" w:ascii="宋体" w:hAnsi="宋体"/>
          <w:color w:val="FF0000"/>
          <w:sz w:val="32"/>
          <w:szCs w:val="32"/>
          <w:u w:val="single"/>
        </w:rPr>
        <w:t xml:space="preserve">                 </w:t>
      </w:r>
      <w:r>
        <w:rPr>
          <w:rFonts w:hint="eastAsia" w:ascii="宋体" w:hAnsi="宋体"/>
          <w:b/>
          <w:color w:val="FF0000"/>
          <w:sz w:val="32"/>
          <w:szCs w:val="32"/>
          <w:u w:val="single"/>
          <w:lang w:eastAsia="zh-CN"/>
        </w:rPr>
        <w:t>2025</w:t>
      </w:r>
      <w:r>
        <w:rPr>
          <w:rFonts w:hint="eastAsia" w:ascii="宋体" w:hAnsi="宋体"/>
          <w:b/>
          <w:color w:val="FF0000"/>
          <w:sz w:val="32"/>
          <w:szCs w:val="32"/>
          <w:u w:val="single"/>
        </w:rPr>
        <w:t>年</w:t>
      </w:r>
      <w:r>
        <w:rPr>
          <w:rFonts w:hint="eastAsia" w:ascii="宋体" w:hAnsi="宋体"/>
          <w:b/>
          <w:color w:val="FF0000"/>
          <w:sz w:val="32"/>
          <w:szCs w:val="32"/>
          <w:u w:val="single"/>
          <w:lang w:val="en-US" w:eastAsia="zh-CN"/>
        </w:rPr>
        <w:t>2月</w:t>
      </w:r>
    </w:p>
    <w:p w14:paraId="2CF9EDA8">
      <w:pPr>
        <w:tabs>
          <w:tab w:val="center" w:pos="4156"/>
        </w:tabs>
        <w:ind w:firstLine="574" w:firstLineChars="146"/>
        <w:rPr>
          <w:rFonts w:ascii="宋体" w:hAnsi="宋体"/>
          <w:b/>
          <w:bCs/>
          <w:spacing w:val="36"/>
          <w:sz w:val="32"/>
          <w:szCs w:val="32"/>
        </w:rPr>
      </w:pPr>
      <w:r>
        <w:rPr>
          <w:rFonts w:ascii="宋体" w:hAnsi="宋体"/>
          <w:b/>
          <w:bCs/>
          <w:spacing w:val="36"/>
          <w:sz w:val="32"/>
          <w:szCs w:val="32"/>
        </w:rPr>
        <w:t>一、环境空气信息　</w:t>
      </w:r>
    </w:p>
    <w:p w14:paraId="375525CF">
      <w:pPr>
        <w:spacing w:before="120" w:beforeLines="50" w:after="120" w:afterLines="50" w:line="440" w:lineRule="exact"/>
        <w:ind w:firstLine="633" w:firstLineChars="198"/>
        <w:outlineLvl w:val="0"/>
        <w:rPr>
          <w:rFonts w:hint="eastAsia"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1、城市环境空气质量</w:t>
      </w:r>
    </w:p>
    <w:p w14:paraId="5A1E11E7">
      <w:pPr>
        <w:spacing w:before="120" w:beforeLines="50" w:after="120" w:afterLines="50" w:line="440" w:lineRule="exact"/>
        <w:ind w:right="-176" w:rightChars="-84"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2025年</w:t>
      </w:r>
      <w:r>
        <w:rPr>
          <w:rFonts w:eastAsia="仿宋_GB2312"/>
          <w:sz w:val="32"/>
          <w:szCs w:val="32"/>
        </w:rPr>
        <w:t>我</w:t>
      </w:r>
      <w:r>
        <w:rPr>
          <w:rFonts w:hint="eastAsia" w:eastAsia="仿宋_GB2312"/>
          <w:sz w:val="32"/>
          <w:szCs w:val="32"/>
        </w:rPr>
        <w:t>市</w:t>
      </w:r>
      <w:r>
        <w:rPr>
          <w:rFonts w:eastAsia="仿宋_GB2312"/>
          <w:sz w:val="32"/>
          <w:szCs w:val="32"/>
        </w:rPr>
        <w:t>兴和大道空气质量自动站监测点为空气质量评价点。按照《环境空气质量标准》（GB3095-2012）监测六个基本项目：二氧化硫、可吸入颗粒物（PM10）、二氧化氮、细颗粒物（PM2.5）、一氧化碳、臭氧。</w:t>
      </w:r>
    </w:p>
    <w:p w14:paraId="0461E364">
      <w:pPr>
        <w:numPr>
          <w:ilvl w:val="0"/>
          <w:numId w:val="1"/>
        </w:numPr>
        <w:spacing w:before="120" w:beforeLines="50" w:after="120" w:afterLines="50" w:line="440" w:lineRule="exact"/>
        <w:ind w:right="-176" w:rightChars="-84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2025年2月</w:t>
      </w:r>
      <w:r>
        <w:rPr>
          <w:rFonts w:eastAsia="仿宋_GB2312"/>
          <w:sz w:val="32"/>
          <w:szCs w:val="32"/>
        </w:rPr>
        <w:t>各监测项目与上月</w:t>
      </w:r>
      <w:r>
        <w:rPr>
          <w:rFonts w:hint="eastAsia" w:eastAsia="仿宋_GB2312"/>
          <w:sz w:val="32"/>
          <w:szCs w:val="32"/>
        </w:rPr>
        <w:t>及去年</w:t>
      </w:r>
      <w:r>
        <w:rPr>
          <w:rFonts w:hint="eastAsia" w:eastAsia="仿宋_GB2312"/>
          <w:sz w:val="32"/>
          <w:szCs w:val="32"/>
          <w:lang w:val="en-US" w:eastAsia="zh-CN"/>
        </w:rPr>
        <w:t>2月</w:t>
      </w:r>
      <w:r>
        <w:rPr>
          <w:rFonts w:eastAsia="仿宋_GB2312"/>
          <w:sz w:val="32"/>
          <w:szCs w:val="32"/>
        </w:rPr>
        <w:t>的情况比较</w:t>
      </w:r>
    </w:p>
    <w:p w14:paraId="5914D640">
      <w:pPr>
        <w:spacing w:before="120" w:beforeLines="50" w:after="120" w:afterLines="50" w:line="440" w:lineRule="exact"/>
        <w:ind w:right="-176" w:rightChars="-84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细颗粒物（PM2.5）：月平均浓度为</w:t>
      </w:r>
      <w:r>
        <w:rPr>
          <w:rFonts w:hint="eastAsia" w:eastAsia="仿宋_GB2312"/>
          <w:sz w:val="32"/>
          <w:szCs w:val="32"/>
          <w:lang w:val="en-US" w:eastAsia="zh-CN"/>
        </w:rPr>
        <w:t>30.67</w:t>
      </w:r>
      <w:r>
        <w:rPr>
          <w:rFonts w:eastAsia="仿宋_GB2312"/>
          <w:sz w:val="32"/>
          <w:szCs w:val="32"/>
        </w:rPr>
        <w:t>g/m</w:t>
      </w:r>
      <w:r>
        <w:rPr>
          <w:rFonts w:eastAsia="仿宋_GB2312"/>
          <w:sz w:val="32"/>
          <w:szCs w:val="32"/>
          <w:vertAlign w:val="superscript"/>
        </w:rPr>
        <w:t>3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CN"/>
        </w:rPr>
        <w:t>比上月下降</w:t>
      </w:r>
      <w:r>
        <w:rPr>
          <w:rFonts w:hint="eastAsia" w:eastAsia="仿宋_GB2312"/>
          <w:sz w:val="32"/>
          <w:szCs w:val="32"/>
          <w:lang w:val="en-US" w:eastAsia="zh-CN"/>
        </w:rPr>
        <w:t>13.5%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CN"/>
        </w:rPr>
        <w:t>同比</w:t>
      </w:r>
      <w:r>
        <w:rPr>
          <w:rFonts w:hint="eastAsia" w:eastAsia="仿宋_GB2312"/>
          <w:sz w:val="30"/>
          <w:szCs w:val="30"/>
        </w:rPr>
        <w:t>去年</w:t>
      </w:r>
      <w:r>
        <w:rPr>
          <w:rFonts w:hint="eastAsia" w:eastAsia="仿宋_GB2312"/>
          <w:sz w:val="30"/>
          <w:szCs w:val="30"/>
          <w:lang w:eastAsia="zh-CN"/>
        </w:rPr>
        <w:t>上升</w:t>
      </w:r>
      <w:r>
        <w:rPr>
          <w:rFonts w:hint="eastAsia" w:eastAsia="仿宋_GB2312"/>
          <w:sz w:val="30"/>
          <w:szCs w:val="30"/>
          <w:lang w:val="en-US" w:eastAsia="zh-CN"/>
        </w:rPr>
        <w:t>13.85%</w:t>
      </w:r>
      <w:r>
        <w:rPr>
          <w:rFonts w:hint="eastAsia" w:eastAsia="仿宋_GB2312"/>
          <w:sz w:val="28"/>
          <w:szCs w:val="28"/>
        </w:rPr>
        <w:t>。</w:t>
      </w:r>
    </w:p>
    <w:p w14:paraId="6A933659">
      <w:pPr>
        <w:spacing w:before="120" w:beforeLines="50" w:after="120" w:afterLines="50" w:line="440" w:lineRule="exact"/>
        <w:ind w:right="-176" w:rightChars="-84" w:firstLine="640" w:firstLineChars="200"/>
        <w:rPr>
          <w:rFonts w:hint="eastAsia" w:eastAsia="仿宋_GB2312"/>
          <w:sz w:val="28"/>
          <w:szCs w:val="28"/>
        </w:rPr>
      </w:pPr>
      <w:r>
        <w:rPr>
          <w:rFonts w:eastAsia="仿宋_GB2312"/>
          <w:sz w:val="32"/>
          <w:szCs w:val="32"/>
        </w:rPr>
        <w:t>可吸入颗粒物（PM10）：月平均浓度为</w:t>
      </w:r>
      <w:r>
        <w:rPr>
          <w:rFonts w:hint="eastAsia" w:eastAsia="仿宋_GB2312"/>
          <w:sz w:val="32"/>
          <w:szCs w:val="32"/>
          <w:lang w:val="en-US" w:eastAsia="zh-CN"/>
        </w:rPr>
        <w:t>45</w:t>
      </w:r>
      <w:r>
        <w:rPr>
          <w:rFonts w:eastAsia="仿宋_GB2312"/>
          <w:sz w:val="32"/>
          <w:szCs w:val="32"/>
        </w:rPr>
        <w:t>μg/m</w:t>
      </w:r>
      <w:r>
        <w:rPr>
          <w:rFonts w:eastAsia="仿宋_GB2312"/>
          <w:sz w:val="32"/>
          <w:szCs w:val="32"/>
          <w:vertAlign w:val="superscript"/>
        </w:rPr>
        <w:t>3</w:t>
      </w:r>
      <w:r>
        <w:rPr>
          <w:rFonts w:eastAsia="仿宋_GB2312"/>
          <w:sz w:val="32"/>
          <w:szCs w:val="32"/>
        </w:rPr>
        <w:t>，比上月</w:t>
      </w:r>
      <w:r>
        <w:rPr>
          <w:rFonts w:hint="eastAsia" w:eastAsia="仿宋_GB2312"/>
          <w:sz w:val="32"/>
          <w:szCs w:val="32"/>
          <w:lang w:eastAsia="zh-CN"/>
        </w:rPr>
        <w:t>下降</w:t>
      </w:r>
      <w:r>
        <w:rPr>
          <w:rFonts w:hint="eastAsia" w:eastAsia="仿宋_GB2312"/>
          <w:sz w:val="32"/>
          <w:szCs w:val="32"/>
          <w:lang w:val="en-US" w:eastAsia="zh-CN"/>
        </w:rPr>
        <w:t>8.2</w:t>
      </w:r>
      <w:r>
        <w:rPr>
          <w:rFonts w:eastAsia="仿宋_GB2312"/>
          <w:sz w:val="30"/>
          <w:szCs w:val="30"/>
        </w:rPr>
        <w:t>%</w:t>
      </w:r>
      <w:r>
        <w:rPr>
          <w:rFonts w:hint="eastAsia" w:eastAsia="仿宋_GB2312"/>
          <w:sz w:val="30"/>
          <w:szCs w:val="30"/>
        </w:rPr>
        <w:t>，</w:t>
      </w:r>
      <w:r>
        <w:rPr>
          <w:rFonts w:hint="eastAsia" w:eastAsia="仿宋_GB2312"/>
          <w:sz w:val="30"/>
          <w:szCs w:val="30"/>
          <w:lang w:eastAsia="zh-CN"/>
        </w:rPr>
        <w:t>同比去年上升</w:t>
      </w:r>
      <w:r>
        <w:rPr>
          <w:rFonts w:hint="eastAsia" w:eastAsia="仿宋_GB2312"/>
          <w:sz w:val="30"/>
          <w:szCs w:val="30"/>
          <w:lang w:val="en-US" w:eastAsia="zh-CN"/>
        </w:rPr>
        <w:t>7.1</w:t>
      </w:r>
      <w:r>
        <w:rPr>
          <w:rFonts w:eastAsia="仿宋_GB2312"/>
          <w:sz w:val="30"/>
          <w:szCs w:val="30"/>
        </w:rPr>
        <w:t>%</w:t>
      </w:r>
      <w:r>
        <w:rPr>
          <w:rFonts w:hint="eastAsia" w:eastAsia="仿宋_GB2312"/>
          <w:sz w:val="28"/>
          <w:szCs w:val="28"/>
        </w:rPr>
        <w:t>。</w:t>
      </w:r>
    </w:p>
    <w:p w14:paraId="68D882A5">
      <w:pPr>
        <w:spacing w:before="120" w:beforeLines="50" w:after="120" w:afterLines="50" w:line="440" w:lineRule="exact"/>
        <w:ind w:right="-176" w:rightChars="-84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臭氧*：月均日最大8小时滑动平均浓度为</w:t>
      </w:r>
      <w:r>
        <w:rPr>
          <w:rFonts w:hint="eastAsia" w:eastAsia="仿宋_GB2312"/>
          <w:sz w:val="32"/>
          <w:szCs w:val="32"/>
          <w:lang w:val="en-US" w:eastAsia="zh-CN"/>
        </w:rPr>
        <w:t>117</w:t>
      </w:r>
      <w:r>
        <w:rPr>
          <w:rFonts w:eastAsia="仿宋_GB2312"/>
          <w:sz w:val="32"/>
          <w:szCs w:val="32"/>
        </w:rPr>
        <w:t>g/m</w:t>
      </w:r>
      <w:r>
        <w:rPr>
          <w:rFonts w:eastAsia="仿宋_GB2312"/>
          <w:sz w:val="32"/>
          <w:szCs w:val="32"/>
          <w:vertAlign w:val="superscript"/>
        </w:rPr>
        <w:t>3</w:t>
      </w:r>
      <w:r>
        <w:rPr>
          <w:rFonts w:eastAsia="仿宋_GB2312"/>
          <w:sz w:val="32"/>
          <w:szCs w:val="32"/>
        </w:rPr>
        <w:t>，比上月</w:t>
      </w:r>
      <w:r>
        <w:rPr>
          <w:rFonts w:hint="eastAsia" w:eastAsia="仿宋_GB2312"/>
          <w:sz w:val="32"/>
          <w:szCs w:val="32"/>
          <w:lang w:eastAsia="zh-CN"/>
        </w:rPr>
        <w:t>上升</w:t>
      </w:r>
      <w:r>
        <w:rPr>
          <w:rFonts w:hint="eastAsia" w:eastAsia="仿宋_GB2312"/>
          <w:sz w:val="32"/>
          <w:szCs w:val="32"/>
          <w:lang w:val="en-US" w:eastAsia="zh-CN"/>
        </w:rPr>
        <w:t>41.0</w:t>
      </w:r>
      <w:r>
        <w:rPr>
          <w:rFonts w:eastAsia="仿宋_GB2312"/>
          <w:sz w:val="30"/>
          <w:szCs w:val="30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CN"/>
        </w:rPr>
        <w:t>同比去年上升</w:t>
      </w:r>
      <w:r>
        <w:rPr>
          <w:rFonts w:hint="eastAsia" w:eastAsia="仿宋_GB2312"/>
          <w:sz w:val="32"/>
          <w:szCs w:val="32"/>
          <w:lang w:val="en-US" w:eastAsia="zh-CN"/>
        </w:rPr>
        <w:t>21.9%</w:t>
      </w:r>
      <w:r>
        <w:rPr>
          <w:rFonts w:hint="eastAsia" w:eastAsia="仿宋_GB2312"/>
          <w:sz w:val="28"/>
          <w:szCs w:val="28"/>
        </w:rPr>
        <w:t>。</w:t>
      </w:r>
    </w:p>
    <w:p w14:paraId="07CC59B1">
      <w:pPr>
        <w:spacing w:before="120" w:beforeLines="50" w:after="120" w:afterLines="50" w:line="440" w:lineRule="exact"/>
        <w:ind w:right="-176" w:rightChars="-84" w:firstLine="640" w:firstLineChars="200"/>
        <w:rPr>
          <w:rFonts w:hint="eastAsia" w:eastAsia="仿宋_GB2312"/>
          <w:sz w:val="28"/>
          <w:szCs w:val="28"/>
        </w:rPr>
      </w:pPr>
      <w:r>
        <w:rPr>
          <w:rFonts w:eastAsia="仿宋_GB2312"/>
          <w:sz w:val="32"/>
          <w:szCs w:val="32"/>
        </w:rPr>
        <w:t>二氧化氮：月平均浓度为</w:t>
      </w:r>
      <w:r>
        <w:rPr>
          <w:rFonts w:hint="eastAsia" w:eastAsia="仿宋_GB2312"/>
          <w:sz w:val="32"/>
          <w:szCs w:val="32"/>
          <w:lang w:val="en-US" w:eastAsia="zh-CN"/>
        </w:rPr>
        <w:t>14</w:t>
      </w:r>
      <w:r>
        <w:rPr>
          <w:rFonts w:eastAsia="仿宋_GB2312"/>
          <w:sz w:val="32"/>
          <w:szCs w:val="32"/>
        </w:rPr>
        <w:t>μg/m</w:t>
      </w:r>
      <w:r>
        <w:rPr>
          <w:rFonts w:eastAsia="仿宋_GB2312"/>
          <w:sz w:val="32"/>
          <w:szCs w:val="32"/>
          <w:vertAlign w:val="superscript"/>
        </w:rPr>
        <w:t>3</w:t>
      </w:r>
      <w:r>
        <w:rPr>
          <w:rFonts w:eastAsia="仿宋_GB2312"/>
          <w:sz w:val="32"/>
          <w:szCs w:val="32"/>
        </w:rPr>
        <w:t>，比上月</w:t>
      </w:r>
      <w:r>
        <w:rPr>
          <w:rFonts w:hint="eastAsia" w:eastAsia="仿宋_GB2312"/>
          <w:sz w:val="32"/>
          <w:szCs w:val="32"/>
          <w:lang w:eastAsia="zh-CN"/>
        </w:rPr>
        <w:t>上升</w:t>
      </w:r>
      <w:r>
        <w:rPr>
          <w:rFonts w:hint="eastAsia" w:eastAsia="仿宋_GB2312"/>
          <w:sz w:val="32"/>
          <w:szCs w:val="32"/>
          <w:lang w:val="en-US" w:eastAsia="zh-CN"/>
        </w:rPr>
        <w:t>16.7</w:t>
      </w:r>
      <w:r>
        <w:rPr>
          <w:rFonts w:eastAsia="仿宋_GB2312"/>
          <w:sz w:val="30"/>
          <w:szCs w:val="30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CN"/>
        </w:rPr>
        <w:t>同比去年上升</w:t>
      </w:r>
      <w:r>
        <w:rPr>
          <w:rFonts w:hint="eastAsia" w:eastAsia="仿宋_GB2312"/>
          <w:sz w:val="32"/>
          <w:szCs w:val="32"/>
          <w:lang w:val="en-US" w:eastAsia="zh-CN"/>
        </w:rPr>
        <w:t>27.3%</w:t>
      </w:r>
      <w:r>
        <w:rPr>
          <w:rFonts w:hint="eastAsia" w:eastAsia="仿宋_GB2312"/>
          <w:sz w:val="28"/>
          <w:szCs w:val="28"/>
        </w:rPr>
        <w:t>。</w:t>
      </w:r>
    </w:p>
    <w:p w14:paraId="129C0BED">
      <w:pPr>
        <w:spacing w:before="120" w:beforeLines="50" w:after="120" w:afterLines="50" w:line="440" w:lineRule="exact"/>
        <w:ind w:right="-176" w:rightChars="-84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二氧化硫：月平均浓度为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μg/m</w:t>
      </w:r>
      <w:r>
        <w:rPr>
          <w:rFonts w:eastAsia="仿宋_GB2312"/>
          <w:sz w:val="32"/>
          <w:szCs w:val="32"/>
          <w:vertAlign w:val="superscript"/>
        </w:rPr>
        <w:t>3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CN"/>
        </w:rPr>
        <w:t>比上月上升</w:t>
      </w:r>
      <w:r>
        <w:rPr>
          <w:rFonts w:hint="eastAsia" w:eastAsia="仿宋_GB2312"/>
          <w:sz w:val="32"/>
          <w:szCs w:val="32"/>
          <w:lang w:val="en-US" w:eastAsia="zh-CN"/>
        </w:rPr>
        <w:t>28.6%</w:t>
      </w:r>
      <w:r>
        <w:rPr>
          <w:rFonts w:hint="eastAsia" w:eastAsia="仿宋_GB2312"/>
          <w:sz w:val="30"/>
          <w:szCs w:val="30"/>
        </w:rPr>
        <w:t>，</w:t>
      </w:r>
      <w:r>
        <w:rPr>
          <w:rFonts w:hint="eastAsia" w:eastAsia="仿宋_GB2312"/>
          <w:sz w:val="30"/>
          <w:szCs w:val="30"/>
          <w:lang w:eastAsia="zh-CN"/>
        </w:rPr>
        <w:t>同比去年上升</w:t>
      </w:r>
      <w:r>
        <w:rPr>
          <w:rFonts w:hint="eastAsia" w:eastAsia="仿宋_GB2312"/>
          <w:sz w:val="30"/>
          <w:szCs w:val="30"/>
          <w:lang w:val="en-US" w:eastAsia="zh-CN"/>
        </w:rPr>
        <w:t>50.0%</w:t>
      </w:r>
      <w:r>
        <w:rPr>
          <w:rFonts w:hint="eastAsia" w:eastAsia="仿宋_GB2312"/>
          <w:sz w:val="28"/>
          <w:szCs w:val="28"/>
        </w:rPr>
        <w:t>。</w:t>
      </w:r>
    </w:p>
    <w:p w14:paraId="624E3E23">
      <w:pPr>
        <w:spacing w:before="120" w:beforeLines="50" w:after="120" w:afterLines="50" w:line="440" w:lineRule="exact"/>
        <w:ind w:right="-176" w:rightChars="-84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一氧化碳：月平均浓度为</w:t>
      </w:r>
      <w:r>
        <w:rPr>
          <w:rFonts w:hint="eastAsia" w:eastAsia="仿宋_GB2312"/>
          <w:sz w:val="32"/>
          <w:szCs w:val="32"/>
          <w:lang w:val="en-US" w:eastAsia="zh-CN"/>
        </w:rPr>
        <w:t>1.0</w:t>
      </w:r>
      <w:r>
        <w:rPr>
          <w:rFonts w:eastAsia="仿宋_GB2312"/>
          <w:sz w:val="32"/>
          <w:szCs w:val="32"/>
        </w:rPr>
        <w:t>mg/m</w:t>
      </w:r>
      <w:r>
        <w:rPr>
          <w:rFonts w:eastAsia="仿宋_GB2312"/>
          <w:sz w:val="32"/>
          <w:szCs w:val="32"/>
          <w:vertAlign w:val="superscript"/>
        </w:rPr>
        <w:t>3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CN"/>
        </w:rPr>
        <w:t>与上月持平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CN"/>
        </w:rPr>
        <w:t>同比去年上升</w:t>
      </w:r>
      <w:r>
        <w:rPr>
          <w:rFonts w:hint="eastAsia" w:eastAsia="仿宋_GB2312"/>
          <w:sz w:val="32"/>
          <w:szCs w:val="32"/>
          <w:lang w:val="en-US" w:eastAsia="zh-CN"/>
        </w:rPr>
        <w:t>25.0%</w:t>
      </w:r>
      <w:r>
        <w:rPr>
          <w:rFonts w:hint="eastAsia" w:eastAsia="仿宋_GB2312"/>
          <w:sz w:val="28"/>
          <w:szCs w:val="28"/>
        </w:rPr>
        <w:t>。</w:t>
      </w:r>
    </w:p>
    <w:p w14:paraId="77C1C89A">
      <w:pPr>
        <w:spacing w:before="120" w:beforeLines="50" w:after="120" w:afterLines="50" w:line="440" w:lineRule="exact"/>
        <w:ind w:right="-176" w:rightChars="-84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注*：日最大连续8小时平均浓度的算术平均值，也称为8小时滑动平均。</w:t>
      </w:r>
    </w:p>
    <w:p w14:paraId="4C8E58CC">
      <w:pPr>
        <w:widowControl/>
        <w:tabs>
          <w:tab w:val="left" w:pos="6105"/>
        </w:tabs>
        <w:adjustRightInd w:val="0"/>
        <w:snapToGrid w:val="0"/>
        <w:spacing w:before="120" w:beforeLines="50" w:after="120" w:afterLines="50" w:line="360" w:lineRule="exact"/>
        <w:jc w:val="both"/>
        <w:rPr>
          <w:rFonts w:eastAsia="仿宋_GB2312"/>
          <w:b/>
          <w:kern w:val="0"/>
          <w:sz w:val="30"/>
          <w:szCs w:val="32"/>
        </w:rPr>
      </w:pPr>
    </w:p>
    <w:p w14:paraId="76AA9076">
      <w:pPr>
        <w:widowControl/>
        <w:tabs>
          <w:tab w:val="left" w:pos="6105"/>
        </w:tabs>
        <w:adjustRightInd w:val="0"/>
        <w:snapToGrid w:val="0"/>
        <w:spacing w:before="120" w:beforeLines="50" w:after="120" w:afterLines="50" w:line="360" w:lineRule="exact"/>
        <w:jc w:val="both"/>
        <w:rPr>
          <w:rFonts w:hint="eastAsia" w:eastAsia="仿宋_GB2312"/>
          <w:b/>
          <w:kern w:val="0"/>
          <w:sz w:val="24"/>
        </w:rPr>
      </w:pPr>
      <w:r>
        <w:rPr>
          <w:rFonts w:eastAsia="仿宋_GB2312"/>
          <w:b/>
          <w:kern w:val="0"/>
          <w:sz w:val="30"/>
          <w:szCs w:val="32"/>
        </w:rPr>
        <w:t xml:space="preserve">表1  </w:t>
      </w:r>
      <w:r>
        <w:rPr>
          <w:rFonts w:eastAsia="仿宋_GB2312"/>
          <w:b/>
          <w:kern w:val="0"/>
          <w:sz w:val="24"/>
        </w:rPr>
        <w:t xml:space="preserve"> </w:t>
      </w:r>
      <w:r>
        <w:rPr>
          <w:rFonts w:hint="eastAsia" w:eastAsia="仿宋_GB2312"/>
          <w:b/>
          <w:kern w:val="0"/>
          <w:sz w:val="24"/>
          <w:lang w:eastAsia="zh-CN"/>
        </w:rPr>
        <w:t>2025年</w:t>
      </w:r>
      <w:r>
        <w:rPr>
          <w:rFonts w:hint="eastAsia" w:eastAsia="仿宋_GB2312"/>
          <w:b/>
          <w:kern w:val="0"/>
          <w:sz w:val="24"/>
          <w:lang w:val="en-US" w:eastAsia="zh-CN"/>
        </w:rPr>
        <w:t>2月</w:t>
      </w:r>
      <w:r>
        <w:rPr>
          <w:rFonts w:eastAsia="仿宋_GB2312"/>
          <w:b/>
          <w:kern w:val="0"/>
          <w:sz w:val="24"/>
        </w:rPr>
        <w:t>邵东</w:t>
      </w:r>
      <w:r>
        <w:rPr>
          <w:rFonts w:hint="eastAsia" w:eastAsia="仿宋_GB2312"/>
          <w:b/>
          <w:kern w:val="0"/>
          <w:sz w:val="24"/>
        </w:rPr>
        <w:t>市</w:t>
      </w:r>
      <w:r>
        <w:rPr>
          <w:rFonts w:eastAsia="仿宋_GB2312"/>
          <w:b/>
          <w:kern w:val="0"/>
          <w:sz w:val="24"/>
        </w:rPr>
        <w:t>主要空气污染物月均值与上月</w:t>
      </w:r>
      <w:r>
        <w:rPr>
          <w:rFonts w:hint="eastAsia" w:eastAsia="仿宋_GB2312"/>
          <w:b/>
          <w:kern w:val="0"/>
          <w:sz w:val="24"/>
        </w:rPr>
        <w:t>及去年</w:t>
      </w:r>
      <w:r>
        <w:rPr>
          <w:rFonts w:hint="eastAsia" w:eastAsia="仿宋_GB2312"/>
          <w:b/>
          <w:kern w:val="0"/>
          <w:sz w:val="24"/>
          <w:lang w:eastAsia="zh-CN"/>
        </w:rPr>
        <w:t>同期</w:t>
      </w:r>
      <w:r>
        <w:rPr>
          <w:rFonts w:eastAsia="仿宋_GB2312"/>
          <w:b/>
          <w:kern w:val="0"/>
          <w:sz w:val="24"/>
        </w:rPr>
        <w:t>比较表 </w:t>
      </w:r>
    </w:p>
    <w:tbl>
      <w:tblPr>
        <w:tblStyle w:val="3"/>
        <w:tblW w:w="91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0"/>
        <w:gridCol w:w="930"/>
        <w:gridCol w:w="1035"/>
        <w:gridCol w:w="1230"/>
        <w:gridCol w:w="1425"/>
        <w:gridCol w:w="1413"/>
      </w:tblGrid>
      <w:tr w14:paraId="01C67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0" w:hRule="exact"/>
          <w:jc w:val="center"/>
        </w:trPr>
        <w:tc>
          <w:tcPr>
            <w:tcW w:w="3110" w:type="dxa"/>
            <w:noWrap w:val="0"/>
            <w:vAlign w:val="top"/>
          </w:tcPr>
          <w:p w14:paraId="65C18BDA">
            <w:pPr>
              <w:spacing w:before="120" w:beforeLines="50" w:after="120" w:afterLines="50" w:line="440" w:lineRule="exact"/>
              <w:ind w:right="-176" w:rightChars="-84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点位</w:t>
            </w:r>
          </w:p>
        </w:tc>
        <w:tc>
          <w:tcPr>
            <w:tcW w:w="6033" w:type="dxa"/>
            <w:gridSpan w:val="5"/>
            <w:noWrap w:val="0"/>
            <w:vAlign w:val="top"/>
          </w:tcPr>
          <w:p w14:paraId="7C3D2C37">
            <w:pPr>
              <w:spacing w:before="120" w:beforeLines="50" w:after="120" w:afterLines="50" w:line="440" w:lineRule="exact"/>
              <w:ind w:right="-176" w:rightChars="-84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邵东兴和大道站（邵东</w:t>
            </w:r>
            <w:r>
              <w:rPr>
                <w:rFonts w:hint="eastAsia" w:eastAsia="仿宋_GB2312"/>
                <w:sz w:val="24"/>
              </w:rPr>
              <w:t>市</w:t>
            </w:r>
            <w:r>
              <w:rPr>
                <w:rFonts w:eastAsia="仿宋_GB2312"/>
                <w:sz w:val="24"/>
              </w:rPr>
              <w:t>政府）</w:t>
            </w:r>
          </w:p>
        </w:tc>
      </w:tr>
      <w:tr w14:paraId="5CC04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3110" w:type="dxa"/>
            <w:noWrap w:val="0"/>
            <w:vAlign w:val="top"/>
          </w:tcPr>
          <w:p w14:paraId="2A301B24">
            <w:pPr>
              <w:spacing w:before="120" w:beforeLines="50" w:after="120" w:afterLines="50" w:line="440" w:lineRule="exact"/>
              <w:ind w:right="-176" w:rightChars="-84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</w:t>
            </w:r>
          </w:p>
        </w:tc>
        <w:tc>
          <w:tcPr>
            <w:tcW w:w="930" w:type="dxa"/>
            <w:noWrap w:val="0"/>
            <w:vAlign w:val="top"/>
          </w:tcPr>
          <w:p w14:paraId="7DDFD5E4">
            <w:pPr>
              <w:spacing w:before="120" w:beforeLines="50" w:after="120" w:afterLines="50" w:line="440" w:lineRule="exact"/>
              <w:ind w:right="-176" w:rightChars="-84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本月</w:t>
            </w:r>
          </w:p>
        </w:tc>
        <w:tc>
          <w:tcPr>
            <w:tcW w:w="1035" w:type="dxa"/>
            <w:noWrap w:val="0"/>
            <w:vAlign w:val="top"/>
          </w:tcPr>
          <w:p w14:paraId="2172F09E">
            <w:pPr>
              <w:spacing w:before="120" w:beforeLines="50" w:after="120" w:afterLines="50" w:line="440" w:lineRule="exact"/>
              <w:ind w:right="-176" w:rightChars="-84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上月</w:t>
            </w:r>
          </w:p>
        </w:tc>
        <w:tc>
          <w:tcPr>
            <w:tcW w:w="1230" w:type="dxa"/>
            <w:noWrap w:val="0"/>
            <w:vAlign w:val="top"/>
          </w:tcPr>
          <w:p w14:paraId="5E0420A6">
            <w:pPr>
              <w:spacing w:before="120" w:beforeLines="50" w:after="120" w:afterLines="50" w:line="440" w:lineRule="exact"/>
              <w:ind w:right="-176" w:rightChars="-84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增减（％）</w:t>
            </w:r>
          </w:p>
        </w:tc>
        <w:tc>
          <w:tcPr>
            <w:tcW w:w="1425" w:type="dxa"/>
            <w:noWrap w:val="0"/>
            <w:vAlign w:val="top"/>
          </w:tcPr>
          <w:p w14:paraId="0243529A">
            <w:pPr>
              <w:spacing w:before="120" w:beforeLines="50" w:after="120" w:afterLines="50" w:line="440" w:lineRule="exact"/>
              <w:ind w:right="-176" w:rightChars="-84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去年</w:t>
            </w:r>
            <w:r>
              <w:rPr>
                <w:rFonts w:hint="eastAsia" w:eastAsia="仿宋_GB2312"/>
                <w:sz w:val="24"/>
                <w:lang w:eastAsia="zh-CN"/>
              </w:rPr>
              <w:t>同期</w:t>
            </w:r>
          </w:p>
          <w:p w14:paraId="44F0E143">
            <w:pPr>
              <w:spacing w:before="120" w:beforeLines="50" w:after="120" w:afterLines="50" w:line="440" w:lineRule="exact"/>
              <w:ind w:right="-176" w:rightChars="-84"/>
              <w:rPr>
                <w:rFonts w:hint="eastAsia" w:eastAsia="仿宋_GB2312"/>
                <w:sz w:val="24"/>
              </w:rPr>
            </w:pPr>
          </w:p>
        </w:tc>
        <w:tc>
          <w:tcPr>
            <w:tcW w:w="1413" w:type="dxa"/>
            <w:noWrap w:val="0"/>
            <w:vAlign w:val="top"/>
          </w:tcPr>
          <w:p w14:paraId="23ABF8B4">
            <w:pPr>
              <w:spacing w:before="120" w:beforeLines="50" w:after="120" w:afterLines="50" w:line="440" w:lineRule="exact"/>
              <w:ind w:right="-176" w:rightChars="-84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增减（％）</w:t>
            </w:r>
          </w:p>
          <w:p w14:paraId="72F78F19">
            <w:pPr>
              <w:spacing w:before="120" w:beforeLines="50" w:after="120" w:afterLines="50" w:line="440" w:lineRule="exact"/>
              <w:ind w:right="-176" w:rightChars="-84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（％）</w:t>
            </w:r>
          </w:p>
        </w:tc>
      </w:tr>
      <w:tr w14:paraId="6C316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3110" w:type="dxa"/>
            <w:noWrap w:val="0"/>
            <w:vAlign w:val="top"/>
          </w:tcPr>
          <w:p w14:paraId="2B009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31" w:rightChars="15"/>
              <w:jc w:val="both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细颗粒物（PM2.5）（μg/m</w:t>
            </w:r>
            <w:r>
              <w:rPr>
                <w:rFonts w:eastAsia="仿宋_GB2312"/>
                <w:sz w:val="24"/>
                <w:vertAlign w:val="superscript"/>
              </w:rPr>
              <w:t>3</w:t>
            </w:r>
            <w:r>
              <w:rPr>
                <w:rFonts w:eastAsia="仿宋_GB2312"/>
                <w:sz w:val="24"/>
              </w:rPr>
              <w:t>）</w:t>
            </w:r>
          </w:p>
        </w:tc>
        <w:tc>
          <w:tcPr>
            <w:tcW w:w="930" w:type="dxa"/>
            <w:noWrap w:val="0"/>
            <w:vAlign w:val="center"/>
          </w:tcPr>
          <w:p w14:paraId="262B05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30.67</w:t>
            </w:r>
          </w:p>
        </w:tc>
        <w:tc>
          <w:tcPr>
            <w:tcW w:w="1035" w:type="dxa"/>
            <w:noWrap w:val="0"/>
            <w:vAlign w:val="center"/>
          </w:tcPr>
          <w:p w14:paraId="2E4FB1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35.46</w:t>
            </w:r>
          </w:p>
        </w:tc>
        <w:tc>
          <w:tcPr>
            <w:tcW w:w="1230" w:type="dxa"/>
            <w:noWrap w:val="0"/>
            <w:vAlign w:val="center"/>
          </w:tcPr>
          <w:p w14:paraId="62E68D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-13.51</w:t>
            </w:r>
          </w:p>
        </w:tc>
        <w:tc>
          <w:tcPr>
            <w:tcW w:w="1425" w:type="dxa"/>
            <w:noWrap w:val="0"/>
            <w:vAlign w:val="center"/>
          </w:tcPr>
          <w:p w14:paraId="5E62B3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26.94</w:t>
            </w:r>
          </w:p>
        </w:tc>
        <w:tc>
          <w:tcPr>
            <w:tcW w:w="1413" w:type="dxa"/>
            <w:noWrap w:val="0"/>
            <w:vAlign w:val="center"/>
          </w:tcPr>
          <w:p w14:paraId="7452B4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13.85</w:t>
            </w:r>
          </w:p>
        </w:tc>
      </w:tr>
      <w:tr w14:paraId="5D1C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3110" w:type="dxa"/>
            <w:noWrap w:val="0"/>
            <w:vAlign w:val="top"/>
          </w:tcPr>
          <w:p w14:paraId="40FBB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31" w:rightChars="15"/>
              <w:jc w:val="both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可吸入颗粒物（PM10）（μg/m</w:t>
            </w:r>
            <w:r>
              <w:rPr>
                <w:rFonts w:eastAsia="仿宋_GB2312"/>
                <w:sz w:val="24"/>
                <w:vertAlign w:val="superscript"/>
              </w:rPr>
              <w:t>3</w:t>
            </w:r>
            <w:r>
              <w:rPr>
                <w:rFonts w:eastAsia="仿宋_GB2312"/>
                <w:sz w:val="24"/>
              </w:rPr>
              <w:t>）</w:t>
            </w:r>
          </w:p>
        </w:tc>
        <w:tc>
          <w:tcPr>
            <w:tcW w:w="930" w:type="dxa"/>
            <w:noWrap w:val="0"/>
            <w:vAlign w:val="center"/>
          </w:tcPr>
          <w:p w14:paraId="5E84B1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035" w:type="dxa"/>
            <w:noWrap w:val="0"/>
            <w:vAlign w:val="center"/>
          </w:tcPr>
          <w:p w14:paraId="4CBCCB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1230" w:type="dxa"/>
            <w:noWrap w:val="0"/>
            <w:vAlign w:val="center"/>
          </w:tcPr>
          <w:p w14:paraId="139A13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both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-8.2</w:t>
            </w:r>
          </w:p>
        </w:tc>
        <w:tc>
          <w:tcPr>
            <w:tcW w:w="1425" w:type="dxa"/>
            <w:noWrap w:val="0"/>
            <w:vAlign w:val="center"/>
          </w:tcPr>
          <w:p w14:paraId="0E085D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42</w:t>
            </w:r>
          </w:p>
        </w:tc>
        <w:tc>
          <w:tcPr>
            <w:tcW w:w="1413" w:type="dxa"/>
            <w:noWrap w:val="0"/>
            <w:vAlign w:val="center"/>
          </w:tcPr>
          <w:p w14:paraId="6D197E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7.1</w:t>
            </w:r>
          </w:p>
        </w:tc>
      </w:tr>
      <w:tr w14:paraId="31AF3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3110" w:type="dxa"/>
            <w:noWrap w:val="0"/>
            <w:vAlign w:val="top"/>
          </w:tcPr>
          <w:p w14:paraId="55F82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31" w:rightChars="15"/>
              <w:jc w:val="both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臭氧（μg/m</w:t>
            </w:r>
            <w:r>
              <w:rPr>
                <w:rFonts w:eastAsia="仿宋_GB2312"/>
                <w:sz w:val="24"/>
                <w:vertAlign w:val="superscript"/>
              </w:rPr>
              <w:t>3</w:t>
            </w:r>
            <w:r>
              <w:rPr>
                <w:rFonts w:eastAsia="仿宋_GB2312"/>
                <w:sz w:val="24"/>
              </w:rPr>
              <w:t>）</w:t>
            </w:r>
          </w:p>
        </w:tc>
        <w:tc>
          <w:tcPr>
            <w:tcW w:w="930" w:type="dxa"/>
            <w:noWrap w:val="0"/>
            <w:vAlign w:val="center"/>
          </w:tcPr>
          <w:p w14:paraId="3E575E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117</w:t>
            </w:r>
          </w:p>
        </w:tc>
        <w:tc>
          <w:tcPr>
            <w:tcW w:w="1035" w:type="dxa"/>
            <w:noWrap w:val="0"/>
            <w:vAlign w:val="center"/>
          </w:tcPr>
          <w:p w14:paraId="30172B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1230" w:type="dxa"/>
            <w:noWrap w:val="0"/>
            <w:vAlign w:val="center"/>
          </w:tcPr>
          <w:p w14:paraId="3BADB8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41.0</w:t>
            </w:r>
          </w:p>
        </w:tc>
        <w:tc>
          <w:tcPr>
            <w:tcW w:w="1425" w:type="dxa"/>
            <w:noWrap w:val="0"/>
            <w:vAlign w:val="center"/>
          </w:tcPr>
          <w:p w14:paraId="339405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1413" w:type="dxa"/>
            <w:noWrap w:val="0"/>
            <w:vAlign w:val="center"/>
          </w:tcPr>
          <w:p w14:paraId="418B1F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21.9</w:t>
            </w:r>
          </w:p>
        </w:tc>
      </w:tr>
      <w:tr w14:paraId="4D6C2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3110" w:type="dxa"/>
            <w:noWrap w:val="0"/>
            <w:vAlign w:val="top"/>
          </w:tcPr>
          <w:p w14:paraId="6B835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31" w:rightChars="15"/>
              <w:jc w:val="both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二氧化氮（μg/m</w:t>
            </w:r>
            <w:r>
              <w:rPr>
                <w:rFonts w:eastAsia="仿宋_GB2312"/>
                <w:sz w:val="24"/>
                <w:vertAlign w:val="superscript"/>
              </w:rPr>
              <w:t>3</w:t>
            </w:r>
            <w:r>
              <w:rPr>
                <w:rFonts w:eastAsia="仿宋_GB2312"/>
                <w:sz w:val="24"/>
              </w:rPr>
              <w:t>）</w:t>
            </w:r>
          </w:p>
        </w:tc>
        <w:tc>
          <w:tcPr>
            <w:tcW w:w="930" w:type="dxa"/>
            <w:noWrap w:val="0"/>
            <w:vAlign w:val="center"/>
          </w:tcPr>
          <w:p w14:paraId="2D2B00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035" w:type="dxa"/>
            <w:noWrap w:val="0"/>
            <w:vAlign w:val="center"/>
          </w:tcPr>
          <w:p w14:paraId="4C1E18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230" w:type="dxa"/>
            <w:noWrap w:val="0"/>
            <w:vAlign w:val="center"/>
          </w:tcPr>
          <w:p w14:paraId="5E431A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16.7</w:t>
            </w:r>
          </w:p>
        </w:tc>
        <w:tc>
          <w:tcPr>
            <w:tcW w:w="1425" w:type="dxa"/>
            <w:noWrap w:val="0"/>
            <w:vAlign w:val="center"/>
          </w:tcPr>
          <w:p w14:paraId="335A0D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13" w:type="dxa"/>
            <w:noWrap w:val="0"/>
            <w:vAlign w:val="center"/>
          </w:tcPr>
          <w:p w14:paraId="096841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27.3</w:t>
            </w:r>
          </w:p>
        </w:tc>
      </w:tr>
      <w:tr w14:paraId="11637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3110" w:type="dxa"/>
            <w:noWrap w:val="0"/>
            <w:vAlign w:val="top"/>
          </w:tcPr>
          <w:p w14:paraId="21BD8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31" w:rightChars="15"/>
              <w:jc w:val="both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二氧化硫（μg/m</w:t>
            </w:r>
            <w:r>
              <w:rPr>
                <w:rFonts w:eastAsia="仿宋_GB2312"/>
                <w:sz w:val="24"/>
                <w:vertAlign w:val="superscript"/>
              </w:rPr>
              <w:t>3</w:t>
            </w:r>
            <w:r>
              <w:rPr>
                <w:rFonts w:eastAsia="仿宋_GB2312"/>
                <w:sz w:val="24"/>
              </w:rPr>
              <w:t>）</w:t>
            </w:r>
          </w:p>
        </w:tc>
        <w:tc>
          <w:tcPr>
            <w:tcW w:w="930" w:type="dxa"/>
            <w:noWrap w:val="0"/>
            <w:vAlign w:val="center"/>
          </w:tcPr>
          <w:p w14:paraId="0A8640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35" w:type="dxa"/>
            <w:noWrap w:val="0"/>
            <w:vAlign w:val="center"/>
          </w:tcPr>
          <w:p w14:paraId="0F49FC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30" w:type="dxa"/>
            <w:noWrap w:val="0"/>
            <w:vAlign w:val="center"/>
          </w:tcPr>
          <w:p w14:paraId="780E2D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28.6</w:t>
            </w:r>
          </w:p>
        </w:tc>
        <w:tc>
          <w:tcPr>
            <w:tcW w:w="1425" w:type="dxa"/>
            <w:noWrap w:val="0"/>
            <w:vAlign w:val="center"/>
          </w:tcPr>
          <w:p w14:paraId="1F3E02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13" w:type="dxa"/>
            <w:noWrap w:val="0"/>
            <w:vAlign w:val="center"/>
          </w:tcPr>
          <w:p w14:paraId="455F7C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50.0</w:t>
            </w:r>
          </w:p>
        </w:tc>
      </w:tr>
      <w:tr w14:paraId="293F9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3110" w:type="dxa"/>
            <w:noWrap w:val="0"/>
            <w:vAlign w:val="top"/>
          </w:tcPr>
          <w:p w14:paraId="0730D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31" w:rightChars="15"/>
              <w:jc w:val="both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一氧化碳（mg/m</w:t>
            </w:r>
            <w:r>
              <w:rPr>
                <w:rFonts w:eastAsia="仿宋_GB2312"/>
                <w:sz w:val="24"/>
                <w:vertAlign w:val="superscript"/>
              </w:rPr>
              <w:t>3</w:t>
            </w:r>
            <w:r>
              <w:rPr>
                <w:rFonts w:eastAsia="仿宋_GB2312"/>
                <w:sz w:val="24"/>
              </w:rPr>
              <w:t>）</w:t>
            </w:r>
          </w:p>
        </w:tc>
        <w:tc>
          <w:tcPr>
            <w:tcW w:w="930" w:type="dxa"/>
            <w:noWrap w:val="0"/>
            <w:vAlign w:val="center"/>
          </w:tcPr>
          <w:p w14:paraId="55FBBD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1.0</w:t>
            </w:r>
          </w:p>
        </w:tc>
        <w:tc>
          <w:tcPr>
            <w:tcW w:w="1035" w:type="dxa"/>
            <w:noWrap w:val="0"/>
            <w:vAlign w:val="center"/>
          </w:tcPr>
          <w:p w14:paraId="4A61B9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1.0</w:t>
            </w:r>
          </w:p>
        </w:tc>
        <w:tc>
          <w:tcPr>
            <w:tcW w:w="1230" w:type="dxa"/>
            <w:noWrap w:val="0"/>
            <w:vAlign w:val="center"/>
          </w:tcPr>
          <w:p w14:paraId="0C0CD3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425" w:type="dxa"/>
            <w:noWrap w:val="0"/>
            <w:vAlign w:val="center"/>
          </w:tcPr>
          <w:p w14:paraId="7D957D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0.8</w:t>
            </w:r>
          </w:p>
        </w:tc>
        <w:tc>
          <w:tcPr>
            <w:tcW w:w="1413" w:type="dxa"/>
            <w:noWrap w:val="0"/>
            <w:vAlign w:val="center"/>
          </w:tcPr>
          <w:p w14:paraId="6406C3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leftChars="0" w:right="0" w:rightChars="0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25.0</w:t>
            </w:r>
          </w:p>
        </w:tc>
      </w:tr>
    </w:tbl>
    <w:p w14:paraId="2876D372">
      <w:pPr>
        <w:tabs>
          <w:tab w:val="left" w:pos="2160"/>
          <w:tab w:val="left" w:pos="12060"/>
        </w:tabs>
        <w:spacing w:before="120" w:beforeLines="50" w:after="120" w:afterLines="50" w:line="440" w:lineRule="exact"/>
        <w:ind w:firstLine="480" w:firstLineChars="200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备注：根据《环境空气质量评价技术规范（试行）》(HJ633-2013)，CO取城市日均值百分之95位数；臭氧取城市日最大8小时平均百分之90位数</w:t>
      </w:r>
      <w:r>
        <w:rPr>
          <w:rFonts w:hint="eastAsia" w:eastAsia="仿宋_GB2312"/>
          <w:kern w:val="0"/>
          <w:sz w:val="24"/>
        </w:rPr>
        <w:t>。</w:t>
      </w:r>
    </w:p>
    <w:p w14:paraId="36BC0413">
      <w:pPr>
        <w:tabs>
          <w:tab w:val="left" w:pos="2160"/>
          <w:tab w:val="left" w:pos="12060"/>
        </w:tabs>
        <w:spacing w:before="120" w:beforeLines="50" w:after="120" w:afterLines="50" w:line="440" w:lineRule="exact"/>
        <w:ind w:firstLine="630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（2）环境空气质量状况</w:t>
      </w:r>
    </w:p>
    <w:p w14:paraId="6A0647AE">
      <w:pPr>
        <w:spacing w:before="120" w:beforeLines="50" w:after="120" w:afterLines="50" w:line="440" w:lineRule="exact"/>
        <w:ind w:right="-176" w:rightChars="-84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按《环境空气质量标准》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GB 3095-2012</w:t>
      </w:r>
      <w:r>
        <w:rPr>
          <w:rFonts w:hint="eastAsia"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和《环境空气质量</w:t>
      </w:r>
      <w:r>
        <w:rPr>
          <w:rFonts w:hint="eastAsia" w:eastAsia="仿宋_GB2312"/>
          <w:sz w:val="32"/>
          <w:szCs w:val="32"/>
        </w:rPr>
        <w:t>指数（AQI）技术规定（试行）</w:t>
      </w:r>
      <w:r>
        <w:rPr>
          <w:rFonts w:eastAsia="仿宋_GB2312"/>
          <w:sz w:val="32"/>
          <w:szCs w:val="32"/>
        </w:rPr>
        <w:t>》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HJ 6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3-2012</w:t>
      </w:r>
      <w:r>
        <w:rPr>
          <w:rFonts w:hint="eastAsia"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评价，</w:t>
      </w:r>
      <w:r>
        <w:rPr>
          <w:rFonts w:hint="eastAsia" w:eastAsia="仿宋_GB2312"/>
          <w:sz w:val="32"/>
          <w:szCs w:val="32"/>
          <w:lang w:eastAsia="zh-CN"/>
        </w:rPr>
        <w:t>2025年</w:t>
      </w:r>
      <w:r>
        <w:rPr>
          <w:rFonts w:hint="eastAsia" w:eastAsia="仿宋_GB2312"/>
          <w:sz w:val="32"/>
          <w:szCs w:val="32"/>
          <w:lang w:val="en-US" w:eastAsia="zh-CN"/>
        </w:rPr>
        <w:t>2月</w:t>
      </w:r>
      <w:r>
        <w:rPr>
          <w:rFonts w:eastAsia="仿宋_GB2312"/>
          <w:sz w:val="32"/>
          <w:szCs w:val="32"/>
        </w:rPr>
        <w:t>城市环境空气质量指数在</w:t>
      </w:r>
      <w:r>
        <w:rPr>
          <w:rFonts w:hint="eastAsia" w:eastAsia="仿宋_GB2312"/>
          <w:sz w:val="32"/>
          <w:szCs w:val="32"/>
          <w:lang w:val="en-US" w:eastAsia="zh-CN"/>
        </w:rPr>
        <w:t>25</w:t>
      </w:r>
      <w:r>
        <w:rPr>
          <w:rFonts w:eastAsia="仿宋_GB2312"/>
          <w:color w:val="000000"/>
          <w:sz w:val="32"/>
          <w:szCs w:val="32"/>
        </w:rPr>
        <w:t>～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95</w:t>
      </w:r>
      <w:r>
        <w:rPr>
          <w:rFonts w:eastAsia="仿宋_GB2312"/>
          <w:sz w:val="32"/>
          <w:szCs w:val="32"/>
        </w:rPr>
        <w:t>之间，有效天数</w:t>
      </w:r>
      <w:r>
        <w:rPr>
          <w:rFonts w:hint="eastAsia" w:eastAsia="仿宋_GB2312"/>
          <w:sz w:val="32"/>
          <w:szCs w:val="32"/>
          <w:lang w:val="en-US" w:eastAsia="zh-CN"/>
        </w:rPr>
        <w:t>28</w:t>
      </w:r>
      <w:r>
        <w:rPr>
          <w:rFonts w:eastAsia="仿宋_GB2312"/>
          <w:sz w:val="32"/>
          <w:szCs w:val="32"/>
        </w:rPr>
        <w:t>天，优良天数</w:t>
      </w:r>
      <w:r>
        <w:rPr>
          <w:rFonts w:hint="eastAsia" w:eastAsia="仿宋_GB2312"/>
          <w:sz w:val="32"/>
          <w:szCs w:val="32"/>
          <w:lang w:val="en-US" w:eastAsia="zh-CN"/>
        </w:rPr>
        <w:t>28</w:t>
      </w:r>
      <w:r>
        <w:rPr>
          <w:rFonts w:eastAsia="仿宋_GB2312"/>
          <w:sz w:val="32"/>
          <w:szCs w:val="32"/>
        </w:rPr>
        <w:t>，优良率</w:t>
      </w:r>
      <w:r>
        <w:rPr>
          <w:rFonts w:hint="eastAsia" w:eastAsia="仿宋_GB2312"/>
          <w:sz w:val="32"/>
          <w:szCs w:val="32"/>
          <w:lang w:val="en-US" w:eastAsia="zh-CN"/>
        </w:rPr>
        <w:t>100</w:t>
      </w:r>
      <w:r>
        <w:rPr>
          <w:rFonts w:eastAsia="仿宋_GB2312"/>
          <w:sz w:val="32"/>
          <w:szCs w:val="32"/>
        </w:rPr>
        <w:t>%（优良天数÷自然天数），影响城市环境空气质量的主要污染物是</w:t>
      </w:r>
      <w:r>
        <w:rPr>
          <w:rFonts w:hint="eastAsia" w:eastAsia="仿宋_GB2312"/>
          <w:sz w:val="32"/>
          <w:szCs w:val="32"/>
        </w:rPr>
        <w:t>细颗粒物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PM2.5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</w:rPr>
        <w:t>和可吸入颗粒物（PM10）</w:t>
      </w:r>
      <w:r>
        <w:rPr>
          <w:rFonts w:eastAsia="仿宋_GB2312"/>
          <w:sz w:val="32"/>
          <w:szCs w:val="32"/>
        </w:rPr>
        <w:t>。详见表2。</w:t>
      </w:r>
    </w:p>
    <w:p w14:paraId="46AD94A8">
      <w:pPr>
        <w:widowControl/>
        <w:tabs>
          <w:tab w:val="left" w:pos="6105"/>
        </w:tabs>
        <w:adjustRightInd w:val="0"/>
        <w:snapToGrid w:val="0"/>
        <w:spacing w:before="120" w:beforeLines="50" w:after="120" w:afterLines="50" w:line="3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城市环境空气质量定性评价见</w:t>
      </w:r>
      <w:r>
        <w:rPr>
          <w:rFonts w:hint="eastAsia" w:eastAsia="仿宋_GB2312"/>
          <w:sz w:val="32"/>
          <w:szCs w:val="32"/>
        </w:rPr>
        <w:t>附录1</w:t>
      </w:r>
      <w:r>
        <w:rPr>
          <w:rFonts w:eastAsia="仿宋_GB2312"/>
          <w:sz w:val="32"/>
          <w:szCs w:val="32"/>
        </w:rPr>
        <w:t>。</w:t>
      </w:r>
    </w:p>
    <w:p w14:paraId="679EB495">
      <w:pPr>
        <w:widowControl/>
        <w:tabs>
          <w:tab w:val="left" w:pos="6105"/>
        </w:tabs>
        <w:adjustRightInd w:val="0"/>
        <w:snapToGrid w:val="0"/>
        <w:spacing w:before="120" w:beforeLines="50" w:after="120" w:afterLines="50" w:line="360" w:lineRule="exact"/>
        <w:ind w:firstLine="551" w:firstLineChars="196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/>
          <w:b/>
          <w:kern w:val="0"/>
          <w:sz w:val="28"/>
          <w:szCs w:val="28"/>
        </w:rPr>
        <w:t xml:space="preserve">表2  </w:t>
      </w:r>
      <w:r>
        <w:rPr>
          <w:rFonts w:hint="eastAsia" w:eastAsia="仿宋_GB2312"/>
          <w:b/>
          <w:kern w:val="0"/>
          <w:sz w:val="28"/>
          <w:szCs w:val="28"/>
          <w:lang w:eastAsia="zh-CN"/>
        </w:rPr>
        <w:t>2025年</w:t>
      </w:r>
      <w:r>
        <w:rPr>
          <w:rFonts w:hint="eastAsia" w:eastAsia="仿宋_GB2312"/>
          <w:b/>
          <w:kern w:val="0"/>
          <w:sz w:val="28"/>
          <w:szCs w:val="28"/>
          <w:lang w:val="en-US" w:eastAsia="zh-CN"/>
        </w:rPr>
        <w:t>2月</w:t>
      </w:r>
      <w:r>
        <w:rPr>
          <w:rFonts w:eastAsia="仿宋_GB2312"/>
          <w:b/>
          <w:kern w:val="0"/>
          <w:sz w:val="28"/>
          <w:szCs w:val="28"/>
        </w:rPr>
        <w:t>城市空气质量状况统计表</w:t>
      </w:r>
    </w:p>
    <w:tbl>
      <w:tblPr>
        <w:tblStyle w:val="3"/>
        <w:tblW w:w="96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489"/>
        <w:gridCol w:w="495"/>
        <w:gridCol w:w="450"/>
        <w:gridCol w:w="390"/>
        <w:gridCol w:w="510"/>
        <w:gridCol w:w="504"/>
        <w:gridCol w:w="629"/>
        <w:gridCol w:w="544"/>
        <w:gridCol w:w="746"/>
        <w:gridCol w:w="489"/>
        <w:gridCol w:w="516"/>
        <w:gridCol w:w="567"/>
        <w:gridCol w:w="500"/>
        <w:gridCol w:w="536"/>
        <w:gridCol w:w="605"/>
        <w:gridCol w:w="627"/>
        <w:gridCol w:w="567"/>
      </w:tblGrid>
      <w:tr w14:paraId="589BD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2810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94AB7D">
            <w:pPr>
              <w:widowControl/>
              <w:spacing w:before="156" w:after="156" w:line="400" w:lineRule="atLeast"/>
              <w:ind w:right="-176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空气质量分布（天数）</w:t>
            </w:r>
          </w:p>
        </w:tc>
        <w:tc>
          <w:tcPr>
            <w:tcW w:w="3428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C1A250">
            <w:pPr>
              <w:widowControl/>
              <w:spacing w:before="156" w:after="156" w:line="400" w:lineRule="atLeast"/>
              <w:ind w:right="-176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首要污染物分布（天数）</w:t>
            </w:r>
          </w:p>
        </w:tc>
        <w:tc>
          <w:tcPr>
            <w:tcW w:w="567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04A48D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优良率%</w:t>
            </w:r>
          </w:p>
        </w:tc>
        <w:tc>
          <w:tcPr>
            <w:tcW w:w="50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231C42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达标天数</w:t>
            </w:r>
          </w:p>
        </w:tc>
        <w:tc>
          <w:tcPr>
            <w:tcW w:w="536" w:type="dxa"/>
            <w:vMerge w:val="restart"/>
            <w:tcBorders>
              <w:top w:val="single" w:color="auto" w:sz="12" w:space="0"/>
              <w:left w:val="nil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78FFD7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有效天数</w:t>
            </w:r>
          </w:p>
        </w:tc>
        <w:tc>
          <w:tcPr>
            <w:tcW w:w="605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EDFCE0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PM2.5达标天数</w:t>
            </w:r>
          </w:p>
        </w:tc>
        <w:tc>
          <w:tcPr>
            <w:tcW w:w="627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4D5DC6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PM</w:t>
            </w:r>
          </w:p>
          <w:p w14:paraId="445DC089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2.5有效天数</w:t>
            </w:r>
          </w:p>
        </w:tc>
        <w:tc>
          <w:tcPr>
            <w:tcW w:w="567" w:type="dxa"/>
            <w:vMerge w:val="restart"/>
            <w:tcBorders>
              <w:top w:val="single" w:color="auto" w:sz="12" w:space="0"/>
              <w:left w:val="single" w:color="auto" w:sz="4" w:space="0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7D4DFE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PM2.5达标比例</w:t>
            </w:r>
          </w:p>
          <w:p w14:paraId="0CFE8BF2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%</w:t>
            </w:r>
          </w:p>
        </w:tc>
      </w:tr>
      <w:tr w14:paraId="1AC51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  <w:jc w:val="center"/>
        </w:trPr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B4EC28">
            <w:pPr>
              <w:widowControl/>
              <w:spacing w:before="156" w:after="156" w:line="4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优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7947C6">
            <w:pPr>
              <w:widowControl/>
              <w:spacing w:before="156" w:after="156" w:line="4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良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4FF177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轻</w:t>
            </w:r>
          </w:p>
          <w:p w14:paraId="2C1C8F94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度污</w:t>
            </w:r>
          </w:p>
          <w:p w14:paraId="3248896C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染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CC115A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</w:t>
            </w:r>
          </w:p>
          <w:p w14:paraId="7643DDB6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度</w:t>
            </w:r>
          </w:p>
          <w:p w14:paraId="32F2A1EA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污</w:t>
            </w:r>
          </w:p>
          <w:p w14:paraId="6A9F28AB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染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8D7CC1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重</w:t>
            </w:r>
          </w:p>
          <w:p w14:paraId="0786A5E5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度</w:t>
            </w:r>
          </w:p>
          <w:p w14:paraId="39B983C0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污</w:t>
            </w:r>
          </w:p>
          <w:p w14:paraId="16BB8581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染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43B06E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严</w:t>
            </w:r>
          </w:p>
          <w:p w14:paraId="59FB7173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重</w:t>
            </w:r>
          </w:p>
          <w:p w14:paraId="7A364898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污</w:t>
            </w:r>
          </w:p>
          <w:p w14:paraId="5FCCFBF4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染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ADA94A">
            <w:pPr>
              <w:widowControl/>
              <w:spacing w:before="156" w:after="156" w:line="400" w:lineRule="atLeast"/>
              <w:ind w:right="-176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SO2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223834">
            <w:pPr>
              <w:widowControl/>
              <w:spacing w:before="156" w:after="156" w:line="400" w:lineRule="atLeast"/>
              <w:ind w:right="-176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PM10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942550">
            <w:pPr>
              <w:widowControl/>
              <w:spacing w:before="156" w:after="156" w:line="400" w:lineRule="atLeast"/>
              <w:ind w:right="-176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NO2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C07444">
            <w:pPr>
              <w:widowControl/>
              <w:spacing w:before="156" w:after="156" w:line="400" w:lineRule="atLeast"/>
              <w:ind w:right="-176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PM2.5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450159">
            <w:pPr>
              <w:widowControl/>
              <w:spacing w:before="156" w:after="156" w:line="400" w:lineRule="atLeast"/>
              <w:ind w:right="-176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CO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DD3E5C">
            <w:pPr>
              <w:widowControl/>
              <w:spacing w:before="156" w:after="156" w:line="400" w:lineRule="atLeast"/>
              <w:ind w:right="-176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O3</w:t>
            </w:r>
          </w:p>
        </w:tc>
        <w:tc>
          <w:tcPr>
            <w:tcW w:w="56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0607FF">
            <w:pPr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50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D26A9A">
            <w:pPr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536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00D262">
            <w:pPr>
              <w:widowControl/>
              <w:spacing w:line="400" w:lineRule="atLeast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605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B6D01E">
            <w:pPr>
              <w:widowControl/>
              <w:spacing w:before="156" w:after="156" w:line="400" w:lineRule="atLeast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627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F9241B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8" w:space="0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E54CC1">
            <w:pPr>
              <w:widowControl/>
              <w:spacing w:line="300" w:lineRule="atLeast"/>
              <w:jc w:val="center"/>
              <w:rPr>
                <w:rFonts w:hint="eastAsia" w:eastAsia="仿宋_GB2312"/>
                <w:szCs w:val="21"/>
              </w:rPr>
            </w:pPr>
          </w:p>
        </w:tc>
      </w:tr>
      <w:tr w14:paraId="1A762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  <w:jc w:val="center"/>
        </w:trPr>
        <w:tc>
          <w:tcPr>
            <w:tcW w:w="476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E918FC">
            <w:pPr>
              <w:pStyle w:val="2"/>
              <w:widowControl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A039BA">
            <w:pPr>
              <w:pStyle w:val="2"/>
              <w:widowControl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7AA397">
            <w:pPr>
              <w:pStyle w:val="2"/>
              <w:widowControl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1424CF">
            <w:pPr>
              <w:pStyle w:val="2"/>
              <w:widowControl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820DF0">
            <w:pPr>
              <w:pStyle w:val="2"/>
              <w:widowControl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744EFF">
            <w:pPr>
              <w:pStyle w:val="2"/>
              <w:widowControl/>
              <w:jc w:val="center"/>
              <w:rPr>
                <w:rFonts w:hint="eastAsia" w:eastAsia="仿宋_GB2312"/>
                <w:kern w:val="2"/>
                <w:sz w:val="21"/>
                <w:szCs w:val="21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</w:rPr>
              <w:t>0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D76ADA">
            <w:pPr>
              <w:pStyle w:val="2"/>
              <w:widowControl/>
              <w:jc w:val="center"/>
              <w:rPr>
                <w:rFonts w:hint="eastAsia" w:eastAsia="仿宋_GB2312"/>
                <w:kern w:val="2"/>
                <w:sz w:val="21"/>
                <w:szCs w:val="21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A44977">
            <w:pPr>
              <w:pStyle w:val="2"/>
              <w:widowControl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A6413D">
            <w:pPr>
              <w:pStyle w:val="2"/>
              <w:widowControl/>
              <w:jc w:val="center"/>
              <w:rPr>
                <w:rFonts w:hint="eastAsia" w:eastAsia="仿宋_GB2312"/>
                <w:kern w:val="2"/>
                <w:sz w:val="21"/>
                <w:szCs w:val="21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</w:rPr>
              <w:t>0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0347FB">
            <w:pPr>
              <w:pStyle w:val="2"/>
              <w:widowControl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B5D0AC">
            <w:pPr>
              <w:pStyle w:val="2"/>
              <w:widowControl/>
              <w:jc w:val="center"/>
              <w:rPr>
                <w:rFonts w:hint="eastAsia" w:eastAsia="仿宋_GB2312"/>
                <w:kern w:val="2"/>
                <w:sz w:val="21"/>
                <w:szCs w:val="21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16C1B8">
            <w:pPr>
              <w:pStyle w:val="2"/>
              <w:widowControl/>
              <w:jc w:val="center"/>
              <w:rPr>
                <w:rFonts w:hint="default" w:eastAsia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C6690A">
            <w:pPr>
              <w:widowControl/>
              <w:spacing w:before="156" w:after="156" w:line="400" w:lineRule="atLeast"/>
              <w:ind w:right="-176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100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3C3290">
            <w:pPr>
              <w:widowControl/>
              <w:spacing w:before="156" w:after="156" w:line="400" w:lineRule="atLeast"/>
              <w:ind w:right="-176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28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3DEA72">
            <w:pPr>
              <w:widowControl/>
              <w:spacing w:before="156" w:after="156" w:line="400" w:lineRule="atLeast"/>
              <w:ind w:right="-176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28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8D15D0">
            <w:pPr>
              <w:widowControl/>
              <w:spacing w:before="156" w:after="156" w:line="400" w:lineRule="atLeast"/>
              <w:ind w:right="-176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28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D6AEE1">
            <w:pPr>
              <w:widowControl/>
              <w:spacing w:before="156" w:after="156" w:line="400" w:lineRule="atLeast"/>
              <w:ind w:right="-176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28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12" w:space="0"/>
              <w:right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882482">
            <w:pPr>
              <w:widowControl/>
              <w:spacing w:before="156" w:after="156" w:line="400" w:lineRule="atLeast"/>
              <w:ind w:right="-176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100</w:t>
            </w:r>
          </w:p>
        </w:tc>
      </w:tr>
    </w:tbl>
    <w:p w14:paraId="4D256817">
      <w:pPr>
        <w:rPr>
          <w:rFonts w:hint="eastAsia"/>
        </w:rPr>
      </w:pPr>
    </w:p>
    <w:p w14:paraId="4875F440">
      <w:pPr>
        <w:spacing w:before="120" w:beforeLines="50" w:after="120" w:afterLines="50" w:line="720" w:lineRule="exact"/>
        <w:rPr>
          <w:rFonts w:ascii="宋体" w:hAnsi="宋体"/>
          <w:b/>
          <w:spacing w:val="38"/>
          <w:sz w:val="32"/>
          <w:szCs w:val="32"/>
        </w:rPr>
      </w:pPr>
      <w:bookmarkStart w:id="0" w:name="_Toc445285462"/>
      <w:r>
        <w:rPr>
          <w:rFonts w:hint="eastAsia" w:ascii="宋体" w:hAnsi="宋体"/>
          <w:b/>
          <w:spacing w:val="38"/>
          <w:sz w:val="32"/>
          <w:szCs w:val="32"/>
        </w:rPr>
        <w:t>二、水环境信息</w:t>
      </w:r>
    </w:p>
    <w:p w14:paraId="3C57BF9B">
      <w:pPr>
        <w:spacing w:before="120" w:beforeLines="50" w:after="120" w:afterLines="50" w:line="440" w:lineRule="exact"/>
        <w:ind w:firstLine="784" w:firstLineChars="198"/>
        <w:outlineLvl w:val="0"/>
        <w:rPr>
          <w:rFonts w:hint="eastAsia" w:ascii="楷体_GB2312" w:hAnsi="宋体" w:eastAsia="楷体_GB2312"/>
          <w:spacing w:val="38"/>
          <w:sz w:val="32"/>
          <w:szCs w:val="32"/>
        </w:rPr>
      </w:pPr>
      <w:r>
        <w:rPr>
          <w:rFonts w:hint="eastAsia" w:ascii="楷体_GB2312" w:hAnsi="宋体" w:eastAsia="楷体_GB2312"/>
          <w:spacing w:val="38"/>
          <w:sz w:val="32"/>
          <w:szCs w:val="32"/>
        </w:rPr>
        <w:t>地表水水质状况</w:t>
      </w:r>
    </w:p>
    <w:p w14:paraId="6433D13B">
      <w:pPr>
        <w:spacing w:before="120" w:beforeLines="50" w:after="120" w:afterLines="50" w:line="44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  <w:lang w:eastAsia="zh-CN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2月</w:t>
      </w:r>
      <w:r>
        <w:rPr>
          <w:rFonts w:hint="eastAsia" w:eastAsia="仿宋_GB2312"/>
          <w:sz w:val="32"/>
          <w:szCs w:val="32"/>
        </w:rPr>
        <w:t>，我</w:t>
      </w:r>
      <w:r>
        <w:rPr>
          <w:rFonts w:hint="eastAsia" w:eastAsia="仿宋_GB2312"/>
          <w:sz w:val="32"/>
          <w:szCs w:val="32"/>
          <w:lang w:val="en-US" w:eastAsia="zh-CN"/>
        </w:rPr>
        <w:t>市</w:t>
      </w:r>
      <w:r>
        <w:rPr>
          <w:rFonts w:hint="eastAsia" w:eastAsia="仿宋_GB2312"/>
          <w:sz w:val="32"/>
          <w:szCs w:val="32"/>
        </w:rPr>
        <w:t>监测地表水断面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</w:rPr>
        <w:t>个：渡头桥镇光辉村、联江村、桐江兴隆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邵水梅子坝</w:t>
      </w:r>
      <w:r>
        <w:rPr>
          <w:rFonts w:hint="eastAsia" w:eastAsia="仿宋_GB2312"/>
          <w:sz w:val="32"/>
          <w:szCs w:val="32"/>
          <w:lang w:val="en-US" w:eastAsia="zh-CN"/>
        </w:rPr>
        <w:t>和佘田桥</w:t>
      </w:r>
      <w:r>
        <w:rPr>
          <w:rFonts w:hint="eastAsia" w:eastAsia="仿宋_GB2312"/>
          <w:sz w:val="32"/>
          <w:szCs w:val="32"/>
        </w:rPr>
        <w:t>断面。渡头桥镇光辉村、联江村、桐江兴隆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邵水梅子坝</w:t>
      </w:r>
      <w:r>
        <w:rPr>
          <w:rFonts w:hint="eastAsia" w:eastAsia="仿宋_GB2312"/>
          <w:sz w:val="32"/>
          <w:szCs w:val="32"/>
          <w:lang w:val="en-US" w:eastAsia="zh-CN"/>
        </w:rPr>
        <w:t>和佘田桥</w:t>
      </w:r>
      <w:r>
        <w:rPr>
          <w:rFonts w:hint="eastAsia" w:eastAsia="仿宋_GB2312"/>
          <w:sz w:val="32"/>
          <w:szCs w:val="32"/>
        </w:rPr>
        <w:t>断面监测项目监测项目</w:t>
      </w:r>
      <w:r>
        <w:rPr>
          <w:rFonts w:eastAsia="仿宋_GB2312"/>
          <w:sz w:val="32"/>
          <w:szCs w:val="32"/>
        </w:rPr>
        <w:t>24</w:t>
      </w:r>
      <w:r>
        <w:rPr>
          <w:rFonts w:hint="eastAsia" w:eastAsia="仿宋_GB2312"/>
          <w:sz w:val="32"/>
          <w:szCs w:val="32"/>
        </w:rPr>
        <w:t>个。</w:t>
      </w:r>
      <w:r>
        <w:rPr>
          <w:rFonts w:hint="eastAsia" w:eastAsia="仿宋_GB2312"/>
          <w:sz w:val="32"/>
          <w:szCs w:val="32"/>
          <w:lang w:val="en-US" w:eastAsia="zh-CN"/>
        </w:rPr>
        <w:t>联江村、邵水梅子坝、桐江兴隆、渡头桥镇光辉村和佘田桥五</w:t>
      </w:r>
      <w:r>
        <w:rPr>
          <w:rFonts w:hint="eastAsia" w:eastAsia="仿宋_GB2312"/>
          <w:sz w:val="32"/>
          <w:szCs w:val="32"/>
        </w:rPr>
        <w:t>个断面水质符合</w:t>
      </w:r>
      <w:r>
        <w:rPr>
          <w:rFonts w:eastAsia="仿宋_GB2312"/>
          <w:sz w:val="32"/>
          <w:szCs w:val="32"/>
        </w:rPr>
        <w:fldChar w:fldCharType="begin"/>
      </w:r>
      <w:r>
        <w:rPr>
          <w:rFonts w:eastAsia="仿宋_GB2312"/>
          <w:sz w:val="32"/>
          <w:szCs w:val="32"/>
        </w:rPr>
        <w:instrText xml:space="preserve"> = 2 \* ROMAN \* MERGEFORMAT </w:instrText>
      </w:r>
      <w:r>
        <w:rPr>
          <w:rFonts w:eastAsia="仿宋_GB2312"/>
          <w:sz w:val="32"/>
          <w:szCs w:val="32"/>
        </w:rPr>
        <w:fldChar w:fldCharType="separate"/>
      </w:r>
      <w:r>
        <w:rPr>
          <w:rFonts w:eastAsia="仿宋_GB2312"/>
          <w:sz w:val="32"/>
          <w:szCs w:val="32"/>
        </w:rPr>
        <w:t>II</w:t>
      </w:r>
      <w:r>
        <w:rPr>
          <w:rFonts w:eastAsia="仿宋_GB2312"/>
          <w:sz w:val="32"/>
          <w:szCs w:val="32"/>
        </w:rPr>
        <w:fldChar w:fldCharType="end"/>
      </w:r>
      <w:r>
        <w:rPr>
          <w:rFonts w:hint="eastAsia" w:eastAsia="仿宋_GB2312"/>
          <w:sz w:val="32"/>
          <w:szCs w:val="32"/>
        </w:rPr>
        <w:t>类水质标准，水质状况为优。</w:t>
      </w:r>
      <w:r>
        <w:rPr>
          <w:rFonts w:hint="eastAsia" w:eastAsia="仿宋_GB2312"/>
          <w:sz w:val="32"/>
          <w:szCs w:val="32"/>
          <w:lang w:val="en-US" w:eastAsia="zh-CN"/>
        </w:rPr>
        <w:t>桐江兴隆断面水质</w:t>
      </w:r>
      <w:bookmarkStart w:id="4" w:name="_GoBack"/>
      <w:bookmarkEnd w:id="4"/>
      <w:r>
        <w:rPr>
          <w:rFonts w:hint="eastAsia" w:eastAsia="仿宋_GB2312"/>
          <w:sz w:val="32"/>
          <w:szCs w:val="32"/>
          <w:lang w:val="en-US" w:eastAsia="zh-CN"/>
        </w:rPr>
        <w:t>较去年同期有所下降，</w:t>
      </w:r>
      <w:r>
        <w:rPr>
          <w:rFonts w:hint="eastAsia" w:eastAsia="仿宋_GB2312"/>
          <w:sz w:val="32"/>
          <w:szCs w:val="32"/>
        </w:rPr>
        <w:t>其他断面水质无明显变化。详见表</w:t>
      </w:r>
      <w:r>
        <w:rPr>
          <w:rFonts w:eastAsia="仿宋_GB2312"/>
          <w:sz w:val="32"/>
          <w:szCs w:val="32"/>
        </w:rPr>
        <w:t>3</w:t>
      </w:r>
    </w:p>
    <w:p w14:paraId="771EB8C8">
      <w:pPr>
        <w:spacing w:before="120" w:beforeLines="50" w:after="120" w:afterLines="50" w:line="440" w:lineRule="exact"/>
        <w:ind w:firstLine="482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 xml:space="preserve">表3 </w:t>
      </w:r>
      <w:r>
        <w:rPr>
          <w:rFonts w:hint="eastAsia" w:ascii="仿宋_GB2312" w:eastAsia="仿宋_GB2312"/>
          <w:b/>
          <w:sz w:val="24"/>
          <w:lang w:eastAsia="zh-CN"/>
        </w:rPr>
        <w:t>202</w:t>
      </w:r>
      <w:r>
        <w:rPr>
          <w:rFonts w:hint="eastAsia" w:ascii="仿宋_GB2312" w:eastAsia="仿宋_GB2312"/>
          <w:b/>
          <w:sz w:val="24"/>
          <w:lang w:val="en-US" w:eastAsia="zh-CN"/>
        </w:rPr>
        <w:t>5</w:t>
      </w:r>
      <w:r>
        <w:rPr>
          <w:rFonts w:hint="eastAsia" w:ascii="仿宋_GB2312" w:eastAsia="仿宋_GB2312"/>
          <w:b/>
          <w:sz w:val="24"/>
          <w:lang w:eastAsia="zh-CN"/>
        </w:rPr>
        <w:t>年</w:t>
      </w:r>
      <w:r>
        <w:rPr>
          <w:rFonts w:hint="eastAsia" w:ascii="仿宋_GB2312" w:eastAsia="仿宋_GB2312"/>
          <w:b/>
          <w:sz w:val="24"/>
          <w:lang w:val="en-US" w:eastAsia="zh-CN"/>
        </w:rPr>
        <w:t>2月</w:t>
      </w:r>
      <w:r>
        <w:rPr>
          <w:rFonts w:hint="eastAsia" w:ascii="仿宋_GB2312" w:eastAsia="仿宋_GB2312"/>
          <w:b/>
          <w:sz w:val="24"/>
          <w:lang w:eastAsia="zh-CN"/>
        </w:rPr>
        <w:t>邵东市</w:t>
      </w:r>
      <w:r>
        <w:rPr>
          <w:rFonts w:hint="eastAsia" w:ascii="仿宋_GB2312" w:eastAsia="仿宋_GB2312"/>
          <w:b/>
          <w:sz w:val="24"/>
        </w:rPr>
        <w:t>地表水水质状况与上月及去年</w:t>
      </w:r>
      <w:r>
        <w:rPr>
          <w:rFonts w:hint="eastAsia" w:ascii="仿宋_GB2312" w:eastAsia="仿宋_GB2312"/>
          <w:b/>
          <w:sz w:val="24"/>
          <w:lang w:val="en-US" w:eastAsia="zh-CN"/>
        </w:rPr>
        <w:t>2月</w:t>
      </w:r>
      <w:r>
        <w:rPr>
          <w:rFonts w:hint="eastAsia" w:ascii="仿宋_GB2312" w:eastAsia="仿宋_GB2312"/>
          <w:b/>
          <w:sz w:val="24"/>
        </w:rPr>
        <w:t>比较表</w:t>
      </w:r>
    </w:p>
    <w:tbl>
      <w:tblPr>
        <w:tblStyle w:val="3"/>
        <w:tblpPr w:vertAnchor="text" w:horzAnchor="page" w:tblpX="967" w:tblpY="101"/>
        <w:tblW w:w="101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918"/>
        <w:gridCol w:w="1638"/>
        <w:gridCol w:w="948"/>
        <w:gridCol w:w="1285"/>
        <w:gridCol w:w="1141"/>
        <w:gridCol w:w="957"/>
        <w:gridCol w:w="1049"/>
        <w:gridCol w:w="1238"/>
      </w:tblGrid>
      <w:tr w14:paraId="700C4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EB433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河流名称</w:t>
            </w:r>
          </w:p>
        </w:tc>
        <w:tc>
          <w:tcPr>
            <w:tcW w:w="1638" w:type="dxa"/>
            <w:vMerge w:val="restar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8B85B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断面</w:t>
            </w:r>
          </w:p>
          <w:p w14:paraId="137DF624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名称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418EB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断面</w:t>
            </w:r>
          </w:p>
          <w:p w14:paraId="6190DE00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属性</w:t>
            </w:r>
          </w:p>
        </w:tc>
        <w:tc>
          <w:tcPr>
            <w:tcW w:w="1285" w:type="dxa"/>
            <w:vMerge w:val="restar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EE81C9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超标项目</w:t>
            </w:r>
          </w:p>
          <w:p w14:paraId="224F4FBF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（超标倍数）</w:t>
            </w:r>
          </w:p>
        </w:tc>
        <w:tc>
          <w:tcPr>
            <w:tcW w:w="1141" w:type="dxa"/>
            <w:vMerge w:val="restar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F788C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本月</w:t>
            </w:r>
          </w:p>
          <w:p w14:paraId="4019F114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水质状况</w:t>
            </w:r>
          </w:p>
        </w:tc>
        <w:tc>
          <w:tcPr>
            <w:tcW w:w="957" w:type="dxa"/>
            <w:vMerge w:val="restar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5E328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本月</w:t>
            </w:r>
          </w:p>
          <w:p w14:paraId="295721FF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水质类别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952E5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上月</w:t>
            </w:r>
          </w:p>
          <w:p w14:paraId="5CC51F98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水质类别</w:t>
            </w:r>
          </w:p>
        </w:tc>
        <w:tc>
          <w:tcPr>
            <w:tcW w:w="1238" w:type="dxa"/>
            <w:vMerge w:val="restart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20076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去年</w:t>
            </w:r>
            <w:r>
              <w:rPr>
                <w:rFonts w:hint="eastAsia" w:eastAsia="仿宋_GB2312"/>
                <w:szCs w:val="21"/>
                <w:lang w:val="en-US" w:eastAsia="zh-CN"/>
              </w:rPr>
              <w:t>2月</w:t>
            </w:r>
          </w:p>
          <w:p w14:paraId="7E9D5243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水质类别</w:t>
            </w:r>
          </w:p>
        </w:tc>
      </w:tr>
      <w:tr w14:paraId="3A8F3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BE31F3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干流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338A0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支流</w:t>
            </w:r>
          </w:p>
        </w:tc>
        <w:tc>
          <w:tcPr>
            <w:tcW w:w="1638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6228CFBB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7B115C13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02A6583A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41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131D631C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57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 w14:paraId="23BEADBC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49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460B25B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8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4E7E7B6"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</w:tr>
      <w:tr w14:paraId="533F0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95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2FCA36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湘江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6783F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蒸水河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BAF91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联江村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036D0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国控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337E3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无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6A604">
            <w:pPr>
              <w:widowControl/>
              <w:jc w:val="center"/>
              <w:textAlignment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优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D0B325">
            <w:pPr>
              <w:widowControl/>
              <w:jc w:val="center"/>
              <w:textAlignment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0EEC31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6B997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</w:tr>
      <w:tr w14:paraId="2081F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95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264A4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邵水</w:t>
            </w:r>
          </w:p>
        </w:tc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284BE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/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A70E8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邵水梅子坝</w:t>
            </w:r>
          </w:p>
        </w:tc>
        <w:tc>
          <w:tcPr>
            <w:tcW w:w="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F1861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省控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F9CAF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无</w:t>
            </w:r>
          </w:p>
        </w:tc>
        <w:tc>
          <w:tcPr>
            <w:tcW w:w="1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2CF41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优</w:t>
            </w:r>
          </w:p>
        </w:tc>
        <w:tc>
          <w:tcPr>
            <w:tcW w:w="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55CD9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  <w:tc>
          <w:tcPr>
            <w:tcW w:w="10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0F08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  <w:tc>
          <w:tcPr>
            <w:tcW w:w="1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5EFD4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</w:tr>
      <w:tr w14:paraId="4F4DC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95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451F2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邵水</w:t>
            </w:r>
          </w:p>
        </w:tc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EEBC8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桐江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5034C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桐江兴隆</w:t>
            </w:r>
          </w:p>
        </w:tc>
        <w:tc>
          <w:tcPr>
            <w:tcW w:w="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DD1F4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省控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33D75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无</w:t>
            </w:r>
          </w:p>
        </w:tc>
        <w:tc>
          <w:tcPr>
            <w:tcW w:w="1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6A405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优</w:t>
            </w:r>
          </w:p>
        </w:tc>
        <w:tc>
          <w:tcPr>
            <w:tcW w:w="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CC23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  <w:tc>
          <w:tcPr>
            <w:tcW w:w="10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383A2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  <w:tc>
          <w:tcPr>
            <w:tcW w:w="1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A30A4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</w:rPr>
              <w:t>Ⅰ</w:t>
            </w:r>
          </w:p>
        </w:tc>
      </w:tr>
      <w:tr w14:paraId="360C7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95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7170BD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邵水</w:t>
            </w:r>
          </w:p>
        </w:tc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E6843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/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83215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渡头桥镇光辉村</w:t>
            </w:r>
          </w:p>
        </w:tc>
        <w:tc>
          <w:tcPr>
            <w:tcW w:w="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C05BF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省控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EA592">
            <w:pPr>
              <w:spacing w:before="120" w:beforeLines="50" w:after="120" w:afterLines="50"/>
              <w:ind w:right="-176" w:rightChars="-84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无</w:t>
            </w:r>
          </w:p>
        </w:tc>
        <w:tc>
          <w:tcPr>
            <w:tcW w:w="1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1904F">
            <w:pPr>
              <w:widowControl/>
              <w:jc w:val="center"/>
              <w:textAlignment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</w:rPr>
              <w:t>优</w:t>
            </w:r>
          </w:p>
        </w:tc>
        <w:tc>
          <w:tcPr>
            <w:tcW w:w="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31838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  <w:tc>
          <w:tcPr>
            <w:tcW w:w="10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D1FDC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  <w:tc>
          <w:tcPr>
            <w:tcW w:w="1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2E335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</w:tr>
      <w:tr w14:paraId="68766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95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9A911">
            <w:pPr>
              <w:spacing w:before="120" w:beforeLines="50" w:after="120" w:afterLines="50"/>
              <w:ind w:right="-176" w:rightChars="-84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邵水</w:t>
            </w:r>
          </w:p>
        </w:tc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B39BD">
            <w:pPr>
              <w:spacing w:before="120" w:beforeLines="50" w:after="120" w:afterLines="50"/>
              <w:ind w:right="-176" w:rightChars="-84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A1D3D">
            <w:pPr>
              <w:spacing w:before="120" w:beforeLines="50" w:after="120" w:afterLines="50"/>
              <w:ind w:right="-176" w:rightChars="-84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佘田桥</w:t>
            </w:r>
          </w:p>
        </w:tc>
        <w:tc>
          <w:tcPr>
            <w:tcW w:w="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691FC">
            <w:pPr>
              <w:spacing w:before="120" w:beforeLines="50" w:after="120" w:afterLines="50"/>
              <w:ind w:right="-176" w:rightChars="-84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省控</w:t>
            </w:r>
          </w:p>
        </w:tc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42707">
            <w:pPr>
              <w:spacing w:before="120" w:beforeLines="50" w:after="120" w:afterLines="50"/>
              <w:ind w:right="-176" w:rightChars="-84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无</w:t>
            </w:r>
          </w:p>
        </w:tc>
        <w:tc>
          <w:tcPr>
            <w:tcW w:w="1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E1C21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优</w:t>
            </w:r>
          </w:p>
        </w:tc>
        <w:tc>
          <w:tcPr>
            <w:tcW w:w="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9CD26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  <w:tc>
          <w:tcPr>
            <w:tcW w:w="10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6FD15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  <w:tc>
          <w:tcPr>
            <w:tcW w:w="1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598BE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Ⅱ</w:t>
            </w:r>
          </w:p>
        </w:tc>
      </w:tr>
    </w:tbl>
    <w:p w14:paraId="03B852AA">
      <w:pPr>
        <w:rPr>
          <w:rFonts w:hint="eastAsia" w:eastAsia="楷体_GB2312"/>
          <w:sz w:val="32"/>
          <w:szCs w:val="32"/>
        </w:rPr>
      </w:pPr>
    </w:p>
    <w:p w14:paraId="468FF75B">
      <w:pPr>
        <w:widowControl/>
        <w:shd w:val="clear" w:color="auto" w:fill="FFFFFF"/>
        <w:spacing w:before="120" w:after="120" w:line="400" w:lineRule="atLeast"/>
        <w:jc w:val="left"/>
        <w:rPr>
          <w:rFonts w:ascii="楷体_GB2312" w:eastAsia="楷体_GB2312"/>
          <w:sz w:val="32"/>
          <w:szCs w:val="32"/>
        </w:rPr>
      </w:pPr>
    </w:p>
    <w:p w14:paraId="52A61895">
      <w:pPr>
        <w:widowControl/>
        <w:shd w:val="clear" w:color="auto" w:fill="FFFFFF"/>
        <w:spacing w:before="120" w:after="120" w:line="400" w:lineRule="atLeast"/>
        <w:jc w:val="left"/>
        <w:rPr>
          <w:rFonts w:hint="eastAsia" w:ascii="楷体_GB2312" w:eastAsia="楷体_GB2312"/>
          <w:sz w:val="32"/>
          <w:szCs w:val="32"/>
        </w:rPr>
      </w:pPr>
    </w:p>
    <w:p w14:paraId="294BDA1A">
      <w:pPr>
        <w:widowControl/>
        <w:shd w:val="clear" w:color="auto" w:fill="FFFFFF"/>
        <w:spacing w:before="120" w:after="120" w:line="400" w:lineRule="atLeast"/>
        <w:jc w:val="left"/>
        <w:rPr>
          <w:rFonts w:hint="eastAsia" w:ascii="楷体_GB2312" w:eastAsia="楷体_GB2312"/>
          <w:sz w:val="32"/>
          <w:szCs w:val="32"/>
        </w:rPr>
      </w:pPr>
    </w:p>
    <w:p w14:paraId="6CF7A9CC">
      <w:pPr>
        <w:rPr>
          <w:rFonts w:hint="eastAsia" w:eastAsia="楷体_GB2312"/>
          <w:sz w:val="32"/>
          <w:szCs w:val="32"/>
        </w:rPr>
      </w:pPr>
    </w:p>
    <w:p w14:paraId="489F6B7E">
      <w:pPr>
        <w:rPr>
          <w:rFonts w:hint="eastAsia"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附  录</w:t>
      </w:r>
      <w:bookmarkEnd w:id="0"/>
    </w:p>
    <w:p w14:paraId="602BBE04">
      <w:pPr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1、城市环境空气质量定性评价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918"/>
        <w:gridCol w:w="1212"/>
        <w:gridCol w:w="972"/>
        <w:gridCol w:w="2689"/>
        <w:gridCol w:w="2678"/>
      </w:tblGrid>
      <w:tr w14:paraId="4BC5C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4" w:type="dxa"/>
            <w:noWrap w:val="0"/>
            <w:vAlign w:val="center"/>
          </w:tcPr>
          <w:p w14:paraId="71AA209A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空气质量指数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AQI</w:t>
            </w:r>
          </w:p>
        </w:tc>
        <w:tc>
          <w:tcPr>
            <w:tcW w:w="918" w:type="dxa"/>
            <w:noWrap w:val="0"/>
            <w:vAlign w:val="center"/>
          </w:tcPr>
          <w:p w14:paraId="1B7409D9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空气质量级别</w:t>
            </w:r>
          </w:p>
        </w:tc>
        <w:tc>
          <w:tcPr>
            <w:tcW w:w="1212" w:type="dxa"/>
            <w:noWrap w:val="0"/>
            <w:vAlign w:val="center"/>
          </w:tcPr>
          <w:p w14:paraId="265C0CC2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质量状况</w:t>
            </w:r>
          </w:p>
        </w:tc>
        <w:tc>
          <w:tcPr>
            <w:tcW w:w="972" w:type="dxa"/>
            <w:noWrap w:val="0"/>
            <w:vAlign w:val="center"/>
          </w:tcPr>
          <w:p w14:paraId="44E2920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表征</w:t>
            </w:r>
          </w:p>
          <w:p w14:paraId="0023956F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颜色</w:t>
            </w:r>
          </w:p>
        </w:tc>
        <w:tc>
          <w:tcPr>
            <w:tcW w:w="2689" w:type="dxa"/>
            <w:noWrap w:val="0"/>
            <w:vAlign w:val="center"/>
          </w:tcPr>
          <w:p w14:paraId="7255DD24">
            <w:pPr>
              <w:spacing w:line="4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对健康的影响</w:t>
            </w:r>
          </w:p>
        </w:tc>
        <w:tc>
          <w:tcPr>
            <w:tcW w:w="2678" w:type="dxa"/>
            <w:noWrap w:val="0"/>
            <w:vAlign w:val="top"/>
          </w:tcPr>
          <w:p w14:paraId="30AB08EE">
            <w:pPr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建议采取的措施</w:t>
            </w:r>
          </w:p>
        </w:tc>
      </w:tr>
      <w:tr w14:paraId="3517C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noWrap w:val="0"/>
            <w:vAlign w:val="center"/>
          </w:tcPr>
          <w:p w14:paraId="7D4388AE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0～50</w:t>
            </w:r>
          </w:p>
        </w:tc>
        <w:tc>
          <w:tcPr>
            <w:tcW w:w="918" w:type="dxa"/>
            <w:noWrap w:val="0"/>
            <w:vAlign w:val="center"/>
          </w:tcPr>
          <w:p w14:paraId="71EF331F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一级</w:t>
            </w:r>
          </w:p>
        </w:tc>
        <w:tc>
          <w:tcPr>
            <w:tcW w:w="1212" w:type="dxa"/>
            <w:noWrap w:val="0"/>
            <w:vAlign w:val="center"/>
          </w:tcPr>
          <w:p w14:paraId="700872B7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优</w:t>
            </w:r>
          </w:p>
        </w:tc>
        <w:tc>
          <w:tcPr>
            <w:tcW w:w="972" w:type="dxa"/>
            <w:noWrap w:val="0"/>
            <w:vAlign w:val="center"/>
          </w:tcPr>
          <w:p w14:paraId="2460B819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绿色</w:t>
            </w:r>
          </w:p>
        </w:tc>
        <w:tc>
          <w:tcPr>
            <w:tcW w:w="2689" w:type="dxa"/>
            <w:noWrap w:val="0"/>
            <w:vAlign w:val="center"/>
          </w:tcPr>
          <w:p w14:paraId="42609F54">
            <w:pPr>
              <w:widowControl/>
              <w:spacing w:before="100" w:beforeAutospacing="1" w:after="100" w:afterAutospacing="1" w:line="30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空气质量令人满意，基本无空气污染</w:t>
            </w:r>
          </w:p>
        </w:tc>
        <w:tc>
          <w:tcPr>
            <w:tcW w:w="2678" w:type="dxa"/>
            <w:noWrap w:val="0"/>
            <w:vAlign w:val="center"/>
          </w:tcPr>
          <w:p w14:paraId="2A6C2445">
            <w:pPr>
              <w:widowControl/>
              <w:spacing w:before="100" w:beforeAutospacing="1" w:after="100" w:afterAutospacing="1" w:line="30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各类人群可正常活动</w:t>
            </w:r>
          </w:p>
        </w:tc>
      </w:tr>
      <w:tr w14:paraId="5905F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noWrap w:val="0"/>
            <w:vAlign w:val="center"/>
          </w:tcPr>
          <w:p w14:paraId="5CE1484A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51～100</w:t>
            </w:r>
          </w:p>
        </w:tc>
        <w:tc>
          <w:tcPr>
            <w:tcW w:w="918" w:type="dxa"/>
            <w:noWrap w:val="0"/>
            <w:vAlign w:val="center"/>
          </w:tcPr>
          <w:p w14:paraId="46BF53BB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二级</w:t>
            </w:r>
          </w:p>
        </w:tc>
        <w:tc>
          <w:tcPr>
            <w:tcW w:w="1212" w:type="dxa"/>
            <w:noWrap w:val="0"/>
            <w:vAlign w:val="center"/>
          </w:tcPr>
          <w:p w14:paraId="12BDE9A0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良</w:t>
            </w:r>
          </w:p>
        </w:tc>
        <w:tc>
          <w:tcPr>
            <w:tcW w:w="972" w:type="dxa"/>
            <w:noWrap w:val="0"/>
            <w:vAlign w:val="center"/>
          </w:tcPr>
          <w:p w14:paraId="132FE44C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黄色</w:t>
            </w:r>
          </w:p>
        </w:tc>
        <w:tc>
          <w:tcPr>
            <w:tcW w:w="2689" w:type="dxa"/>
            <w:noWrap w:val="0"/>
            <w:vAlign w:val="center"/>
          </w:tcPr>
          <w:p w14:paraId="47F6EBB9">
            <w:pPr>
              <w:widowControl/>
              <w:spacing w:before="100" w:beforeAutospacing="1" w:after="100" w:afterAutospacing="1" w:line="30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空气质量可接受，但某些污染物可能对极少数异常敏感人群健康有较弱影响</w:t>
            </w:r>
          </w:p>
        </w:tc>
        <w:tc>
          <w:tcPr>
            <w:tcW w:w="2678" w:type="dxa"/>
            <w:noWrap w:val="0"/>
            <w:vAlign w:val="center"/>
          </w:tcPr>
          <w:p w14:paraId="25E5DDBA">
            <w:pPr>
              <w:widowControl/>
              <w:spacing w:before="100" w:beforeAutospacing="1" w:after="100" w:afterAutospacing="1" w:line="30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较少数异常敏感人群应减少户外活动</w:t>
            </w:r>
          </w:p>
        </w:tc>
      </w:tr>
      <w:tr w14:paraId="3A578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noWrap w:val="0"/>
            <w:vAlign w:val="center"/>
          </w:tcPr>
          <w:p w14:paraId="6EC74D2E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101～150</w:t>
            </w:r>
          </w:p>
        </w:tc>
        <w:tc>
          <w:tcPr>
            <w:tcW w:w="918" w:type="dxa"/>
            <w:noWrap w:val="0"/>
            <w:vAlign w:val="center"/>
          </w:tcPr>
          <w:p w14:paraId="072AB47A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三级</w:t>
            </w:r>
          </w:p>
        </w:tc>
        <w:tc>
          <w:tcPr>
            <w:tcW w:w="1212" w:type="dxa"/>
            <w:noWrap w:val="0"/>
            <w:vAlign w:val="center"/>
          </w:tcPr>
          <w:p w14:paraId="23822CDF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轻微污染</w:t>
            </w:r>
          </w:p>
        </w:tc>
        <w:tc>
          <w:tcPr>
            <w:tcW w:w="972" w:type="dxa"/>
            <w:noWrap w:val="0"/>
            <w:vAlign w:val="center"/>
          </w:tcPr>
          <w:p w14:paraId="31568678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橙色</w:t>
            </w:r>
          </w:p>
        </w:tc>
        <w:tc>
          <w:tcPr>
            <w:tcW w:w="2689" w:type="dxa"/>
            <w:noWrap w:val="0"/>
            <w:vAlign w:val="center"/>
          </w:tcPr>
          <w:p w14:paraId="6CCE5D73">
            <w:pPr>
              <w:widowControl/>
              <w:spacing w:before="100" w:beforeAutospacing="1" w:after="100" w:afterAutospacing="1" w:line="30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敏感人群症状有轻度加剧，健康人群出现刺激症状</w:t>
            </w:r>
          </w:p>
        </w:tc>
        <w:tc>
          <w:tcPr>
            <w:tcW w:w="2678" w:type="dxa"/>
            <w:noWrap w:val="0"/>
            <w:vAlign w:val="center"/>
          </w:tcPr>
          <w:p w14:paraId="1D0B2F68">
            <w:pPr>
              <w:widowControl/>
              <w:spacing w:before="100" w:beforeAutospacing="1" w:after="100" w:afterAutospacing="1" w:line="30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儿童、老年人及心脏病、呼吸系统疾病患者应减少长时间、高强度户外锻炼</w:t>
            </w:r>
          </w:p>
        </w:tc>
      </w:tr>
      <w:tr w14:paraId="7DDB5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noWrap w:val="0"/>
            <w:vAlign w:val="center"/>
          </w:tcPr>
          <w:p w14:paraId="4A831025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151～200</w:t>
            </w:r>
          </w:p>
        </w:tc>
        <w:tc>
          <w:tcPr>
            <w:tcW w:w="918" w:type="dxa"/>
            <w:noWrap w:val="0"/>
            <w:vAlign w:val="center"/>
          </w:tcPr>
          <w:p w14:paraId="2365E653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 四级</w:t>
            </w:r>
          </w:p>
        </w:tc>
        <w:tc>
          <w:tcPr>
            <w:tcW w:w="1212" w:type="dxa"/>
            <w:noWrap w:val="0"/>
            <w:vAlign w:val="center"/>
          </w:tcPr>
          <w:p w14:paraId="3A4874DB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中度污染</w:t>
            </w:r>
          </w:p>
        </w:tc>
        <w:tc>
          <w:tcPr>
            <w:tcW w:w="972" w:type="dxa"/>
            <w:noWrap w:val="0"/>
            <w:vAlign w:val="center"/>
          </w:tcPr>
          <w:p w14:paraId="13CC56FC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红色</w:t>
            </w:r>
          </w:p>
        </w:tc>
        <w:tc>
          <w:tcPr>
            <w:tcW w:w="2689" w:type="dxa"/>
            <w:noWrap w:val="0"/>
            <w:vAlign w:val="center"/>
          </w:tcPr>
          <w:p w14:paraId="0E37F0E7">
            <w:pPr>
              <w:widowControl/>
              <w:spacing w:before="100" w:beforeAutospacing="1" w:after="100" w:afterAutospacing="1" w:line="30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进一步加剧易感人群症状，可能对健康人群心脏、呼吸系统有影响</w:t>
            </w:r>
          </w:p>
        </w:tc>
        <w:tc>
          <w:tcPr>
            <w:tcW w:w="2678" w:type="dxa"/>
            <w:noWrap w:val="0"/>
            <w:vAlign w:val="center"/>
          </w:tcPr>
          <w:p w14:paraId="5D6FDEB1">
            <w:pPr>
              <w:widowControl/>
              <w:spacing w:before="100" w:beforeAutospacing="1" w:after="100" w:afterAutospacing="1" w:line="30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儿童、老年人及心脏病、呼吸系统疾病患者避免长时间、高强度户外锻炼，一般人群适量减少户外运动</w:t>
            </w:r>
          </w:p>
        </w:tc>
      </w:tr>
      <w:tr w14:paraId="63D88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noWrap w:val="0"/>
            <w:vAlign w:val="center"/>
          </w:tcPr>
          <w:p w14:paraId="2969474C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201～300</w:t>
            </w:r>
          </w:p>
        </w:tc>
        <w:tc>
          <w:tcPr>
            <w:tcW w:w="918" w:type="dxa"/>
            <w:noWrap w:val="0"/>
            <w:vAlign w:val="center"/>
          </w:tcPr>
          <w:p w14:paraId="45F9531D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五级</w:t>
            </w:r>
          </w:p>
        </w:tc>
        <w:tc>
          <w:tcPr>
            <w:tcW w:w="1212" w:type="dxa"/>
            <w:noWrap w:val="0"/>
            <w:vAlign w:val="center"/>
          </w:tcPr>
          <w:p w14:paraId="01F5BFF6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重度污染</w:t>
            </w:r>
          </w:p>
        </w:tc>
        <w:tc>
          <w:tcPr>
            <w:tcW w:w="972" w:type="dxa"/>
            <w:noWrap w:val="0"/>
            <w:vAlign w:val="center"/>
          </w:tcPr>
          <w:p w14:paraId="7CE72ADC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紫色</w:t>
            </w:r>
          </w:p>
        </w:tc>
        <w:tc>
          <w:tcPr>
            <w:tcW w:w="2689" w:type="dxa"/>
            <w:noWrap w:val="0"/>
            <w:vAlign w:val="center"/>
          </w:tcPr>
          <w:p w14:paraId="565B2F93">
            <w:pPr>
              <w:widowControl/>
              <w:spacing w:before="100" w:beforeAutospacing="1" w:after="100" w:afterAutospacing="1" w:line="30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心脏病和肺病患者症状显著加剧，运动耐受力降低，健康人群普遍出现症状</w:t>
            </w:r>
          </w:p>
        </w:tc>
        <w:tc>
          <w:tcPr>
            <w:tcW w:w="2678" w:type="dxa"/>
            <w:noWrap w:val="0"/>
            <w:vAlign w:val="center"/>
          </w:tcPr>
          <w:p w14:paraId="15144FF8">
            <w:pPr>
              <w:widowControl/>
              <w:spacing w:before="100" w:beforeAutospacing="1" w:after="100" w:afterAutospacing="1" w:line="30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儿童、老年人和心脏病、肺病患者应停留在室内，停止户外运动，一般人群减少户外运动</w:t>
            </w:r>
          </w:p>
        </w:tc>
      </w:tr>
      <w:tr w14:paraId="0B783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noWrap w:val="0"/>
            <w:vAlign w:val="center"/>
          </w:tcPr>
          <w:p w14:paraId="357DB247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＞300</w:t>
            </w:r>
          </w:p>
        </w:tc>
        <w:tc>
          <w:tcPr>
            <w:tcW w:w="918" w:type="dxa"/>
            <w:noWrap w:val="0"/>
            <w:vAlign w:val="center"/>
          </w:tcPr>
          <w:p w14:paraId="37F6BF6D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六级</w:t>
            </w:r>
          </w:p>
        </w:tc>
        <w:tc>
          <w:tcPr>
            <w:tcW w:w="1212" w:type="dxa"/>
            <w:noWrap w:val="0"/>
            <w:vAlign w:val="center"/>
          </w:tcPr>
          <w:p w14:paraId="46E5FC1B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严重污染</w:t>
            </w:r>
          </w:p>
        </w:tc>
        <w:tc>
          <w:tcPr>
            <w:tcW w:w="972" w:type="dxa"/>
            <w:noWrap w:val="0"/>
            <w:vAlign w:val="center"/>
          </w:tcPr>
          <w:p w14:paraId="6077D5D7">
            <w:pPr>
              <w:widowControl/>
              <w:spacing w:before="100" w:beforeAutospacing="1" w:after="100" w:afterAutospacing="1" w:line="3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褐红色</w:t>
            </w:r>
          </w:p>
        </w:tc>
        <w:tc>
          <w:tcPr>
            <w:tcW w:w="2689" w:type="dxa"/>
            <w:noWrap w:val="0"/>
            <w:vAlign w:val="center"/>
          </w:tcPr>
          <w:p w14:paraId="739C89A3">
            <w:pPr>
              <w:widowControl/>
              <w:spacing w:before="100" w:beforeAutospacing="1" w:after="100" w:afterAutospacing="1" w:line="30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健康人群运动耐受力降低，有明显强烈症状，提前出现某些疾病</w:t>
            </w:r>
          </w:p>
        </w:tc>
        <w:tc>
          <w:tcPr>
            <w:tcW w:w="2678" w:type="dxa"/>
            <w:noWrap w:val="0"/>
            <w:vAlign w:val="center"/>
          </w:tcPr>
          <w:p w14:paraId="4F17B263">
            <w:pPr>
              <w:widowControl/>
              <w:spacing w:before="100" w:beforeAutospacing="1" w:after="100" w:afterAutospacing="1" w:line="30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儿童、老年人及病人应当留在室内，避免体力消耗，一般人群应避免户外运动</w:t>
            </w:r>
          </w:p>
        </w:tc>
      </w:tr>
    </w:tbl>
    <w:p w14:paraId="66D795D2">
      <w:pPr>
        <w:rPr>
          <w:rFonts w:hint="eastAsia" w:ascii="楷体_GB2312" w:eastAsia="楷体_GB2312"/>
          <w:sz w:val="32"/>
          <w:szCs w:val="32"/>
        </w:rPr>
      </w:pPr>
    </w:p>
    <w:p w14:paraId="191F10E3">
      <w:pPr>
        <w:rPr>
          <w:rFonts w:hint="eastAsia" w:ascii="楷体_GB2312" w:eastAsia="楷体_GB2312"/>
          <w:sz w:val="32"/>
          <w:szCs w:val="32"/>
        </w:rPr>
      </w:pPr>
    </w:p>
    <w:p w14:paraId="03C13EDC">
      <w:pPr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2、水质</w:t>
      </w:r>
      <w:r>
        <w:rPr>
          <w:rFonts w:ascii="楷体_GB2312" w:eastAsia="楷体_GB2312"/>
          <w:sz w:val="32"/>
          <w:szCs w:val="32"/>
        </w:rPr>
        <w:t>评价项目及标准</w:t>
      </w:r>
    </w:p>
    <w:p w14:paraId="3459C59A">
      <w:pPr>
        <w:snapToGrid w:val="0"/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(1) 评价项目</w:t>
      </w:r>
      <w:r>
        <w:rPr>
          <w:rFonts w:hint="eastAsia" w:ascii="仿宋_GB2312" w:eastAsia="仿宋_GB2312"/>
          <w:bCs/>
          <w:sz w:val="32"/>
          <w:szCs w:val="32"/>
        </w:rPr>
        <w:t>质评价项目及标准。</w:t>
      </w:r>
      <w:r>
        <w:rPr>
          <w:rFonts w:hint="eastAsia" w:ascii="仿宋_GB2312" w:eastAsia="仿宋_GB2312"/>
          <w:sz w:val="32"/>
          <w:szCs w:val="32"/>
        </w:rPr>
        <w:t>河流型地表水水质评价：《地表水环境质量标准》(GB3838-2002)表1所列除水温、总氮和粪大肠菌群以外的其他21项指标，粪大肠菌群单独评价。</w:t>
      </w:r>
    </w:p>
    <w:p w14:paraId="459B8AC1">
      <w:pPr>
        <w:snapToGrid w:val="0"/>
        <w:spacing w:line="520" w:lineRule="exact"/>
        <w:ind w:firstLine="630" w:firstLineChars="19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饮用水水源地水质评价：依据《全国集中式生活饮用水水源地水质监测实施方案》（环办函[2012]1266号）的要求，集中式生活饮用水水源地</w:t>
      </w:r>
      <w:r>
        <w:rPr>
          <w:rFonts w:hint="eastAsia" w:ascii="仿宋_GB2312" w:eastAsia="仿宋_GB2312"/>
          <w:color w:val="000000"/>
          <w:sz w:val="32"/>
          <w:szCs w:val="32"/>
        </w:rPr>
        <w:t>监测项目为《地表水环境质量标准》（GB3838-2002）表1的基本项目（23项，化学需氧量除外）、表2的补充项目（5项）和表3的优选特定项目（33项），共61项。评价项目为</w:t>
      </w:r>
      <w:r>
        <w:rPr>
          <w:rFonts w:hint="eastAsia" w:ascii="仿宋_GB2312" w:eastAsia="仿宋_GB2312"/>
          <w:sz w:val="32"/>
          <w:szCs w:val="32"/>
        </w:rPr>
        <w:t>《地表水环境质量标准》(GB3838-2002)表1和表2所列除水温、总氮和粪大肠菌群以外的其他指标，表3的</w:t>
      </w:r>
      <w:r>
        <w:rPr>
          <w:rFonts w:hint="eastAsia" w:ascii="仿宋_GB2312" w:eastAsia="仿宋_GB2312"/>
          <w:color w:val="000000"/>
          <w:sz w:val="32"/>
          <w:szCs w:val="32"/>
        </w:rPr>
        <w:t>优选特定项目（33项），共58项。</w:t>
      </w:r>
    </w:p>
    <w:p w14:paraId="591488AF">
      <w:pPr>
        <w:snapToGrid w:val="0"/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湖泊评价：湖泊评价项目为《地表水环境质量标准》(GB3838-2002)表1除水温、总氮和粪大肠菌群以外的其他21项指标，另外用总磷、总氮、叶绿素a、高锰酸盐指数和透明度5项指标，用于评价营养状态。总氮和粪大肠菌群单独评价。</w:t>
      </w:r>
    </w:p>
    <w:p w14:paraId="22D444B7">
      <w:pPr>
        <w:snapToGrid w:val="0"/>
        <w:spacing w:line="520" w:lineRule="exact"/>
        <w:ind w:firstLine="633" w:firstLineChars="198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(2) 评价标准。从2012年</w:t>
      </w:r>
      <w:r>
        <w:rPr>
          <w:rFonts w:hint="eastAsia" w:ascii="仿宋_GB2312" w:eastAsia="仿宋_GB2312"/>
          <w:sz w:val="32"/>
          <w:szCs w:val="32"/>
          <w:lang w:eastAsia="zh-CN"/>
        </w:rPr>
        <w:t>12月</w:t>
      </w:r>
      <w:r>
        <w:rPr>
          <w:rFonts w:hint="eastAsia" w:ascii="仿宋_GB2312" w:eastAsia="仿宋_GB2312"/>
          <w:sz w:val="32"/>
          <w:szCs w:val="32"/>
        </w:rPr>
        <w:t>开始，地表水水质评价不再执行《地表水环境质量标准（GB3838-2002）》中相应功能区标准，而按Ⅰ类～劣Ⅴ类六个类别进行评价。当断面水质超过Ⅲ类标准时，应计算指标浓度超过Ⅲ类水质标准的倍数，即超标倍数。</w:t>
      </w:r>
    </w:p>
    <w:p w14:paraId="585B3387">
      <w:pPr>
        <w:snapToGrid w:val="0"/>
        <w:spacing w:line="520" w:lineRule="exact"/>
        <w:ind w:firstLine="630" w:firstLineChars="197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饮用水水源地水质</w:t>
      </w:r>
      <w:r>
        <w:rPr>
          <w:rFonts w:hint="eastAsia" w:ascii="仿宋_GB2312" w:eastAsia="仿宋_GB2312"/>
          <w:color w:val="000000"/>
          <w:sz w:val="32"/>
          <w:szCs w:val="32"/>
        </w:rPr>
        <w:t>根据《地表水环境质量标准》（GB3838-2002）进行评价。基本项目按照《地表水环境质量评价方法（试行）》（环办[2011]22号）进行评价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color w:val="000000"/>
          <w:sz w:val="32"/>
          <w:szCs w:val="32"/>
        </w:rPr>
        <w:t>补充项目、特定项目采用单因子评价法进行评价。</w:t>
      </w:r>
    </w:p>
    <w:p w14:paraId="2351A3BE">
      <w:pPr>
        <w:snapToGrid w:val="0"/>
        <w:spacing w:line="520" w:lineRule="exact"/>
        <w:ind w:firstLine="640" w:firstLineChars="200"/>
        <w:rPr>
          <w:rFonts w:ascii="楷体_GB2312" w:eastAsia="楷体_GB2312"/>
          <w:sz w:val="32"/>
          <w:szCs w:val="32"/>
        </w:rPr>
      </w:pPr>
      <w:bookmarkStart w:id="1" w:name="_Toc428266490"/>
      <w:bookmarkStart w:id="2" w:name="_Toc398298509"/>
      <w:bookmarkStart w:id="3" w:name="_Toc445285465"/>
      <w:r>
        <w:rPr>
          <w:rFonts w:ascii="楷体_GB2312" w:eastAsia="楷体_GB2312"/>
          <w:sz w:val="32"/>
          <w:szCs w:val="32"/>
        </w:rPr>
        <w:t>3、</w:t>
      </w:r>
      <w:bookmarkEnd w:id="1"/>
      <w:bookmarkEnd w:id="2"/>
      <w:bookmarkEnd w:id="3"/>
      <w:r>
        <w:rPr>
          <w:rFonts w:ascii="楷体_GB2312" w:eastAsia="楷体_GB2312"/>
          <w:sz w:val="32"/>
          <w:szCs w:val="32"/>
        </w:rPr>
        <w:t>地表水环境质量定性评价方法</w:t>
      </w:r>
    </w:p>
    <w:p w14:paraId="20D0B30C">
      <w:pPr>
        <w:snapToGrid w:val="0"/>
        <w:spacing w:line="520" w:lineRule="exact"/>
        <w:ind w:firstLine="630" w:firstLineChars="19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地表水环境质量分为：优、良好、轻度污染、中度污染、重度污染五个等级。</w:t>
      </w:r>
    </w:p>
    <w:p w14:paraId="62120D7E">
      <w:pPr>
        <w:snapToGrid w:val="0"/>
        <w:spacing w:line="520" w:lineRule="exact"/>
        <w:ind w:firstLine="630" w:firstLineChars="197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断面、河段水质类别与水质定性评价分级的对应关系见附表1。</w:t>
      </w:r>
    </w:p>
    <w:p w14:paraId="20DE6770">
      <w:pPr>
        <w:snapToGrid w:val="0"/>
        <w:spacing w:line="520" w:lineRule="exact"/>
        <w:ind w:firstLine="630" w:firstLineChars="197"/>
        <w:rPr>
          <w:rFonts w:hint="eastAsia" w:ascii="仿宋_GB2312" w:eastAsia="仿宋_GB2312"/>
          <w:sz w:val="32"/>
          <w:szCs w:val="32"/>
        </w:rPr>
      </w:pPr>
    </w:p>
    <w:p w14:paraId="00C3946B">
      <w:pPr>
        <w:autoSpaceDE w:val="0"/>
        <w:autoSpaceDN w:val="0"/>
        <w:adjustRightInd w:val="0"/>
        <w:spacing w:line="520" w:lineRule="exact"/>
        <w:ind w:firstLine="480" w:firstLineChars="15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附表</w:t>
      </w:r>
      <w:r>
        <w:rPr>
          <w:rFonts w:hint="eastAsia" w:ascii="仿宋_GB2312" w:eastAsia="仿宋_GB2312"/>
          <w:bCs/>
          <w:kern w:val="0"/>
          <w:sz w:val="32"/>
          <w:szCs w:val="32"/>
        </w:rPr>
        <w:t xml:space="preserve">1  </w:t>
      </w:r>
      <w:r>
        <w:rPr>
          <w:rFonts w:hint="eastAsia" w:ascii="仿宋_GB2312" w:eastAsia="仿宋_GB2312"/>
          <w:kern w:val="0"/>
          <w:sz w:val="32"/>
          <w:szCs w:val="32"/>
        </w:rPr>
        <w:t>断面、河段水质定性评价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237"/>
        <w:gridCol w:w="4727"/>
      </w:tblGrid>
      <w:tr w14:paraId="6BADD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noWrap w:val="0"/>
            <w:vAlign w:val="top"/>
          </w:tcPr>
          <w:p w14:paraId="6CEA6BE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水质类别</w:t>
            </w:r>
          </w:p>
        </w:tc>
        <w:tc>
          <w:tcPr>
            <w:tcW w:w="1237" w:type="dxa"/>
            <w:noWrap w:val="0"/>
            <w:vAlign w:val="top"/>
          </w:tcPr>
          <w:p w14:paraId="290915E5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水质状况</w:t>
            </w:r>
          </w:p>
        </w:tc>
        <w:tc>
          <w:tcPr>
            <w:tcW w:w="4727" w:type="dxa"/>
            <w:noWrap w:val="0"/>
            <w:vAlign w:val="top"/>
          </w:tcPr>
          <w:p w14:paraId="11517299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水质功能</w:t>
            </w:r>
          </w:p>
        </w:tc>
      </w:tr>
      <w:tr w14:paraId="6B739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noWrap w:val="0"/>
            <w:vAlign w:val="center"/>
          </w:tcPr>
          <w:p w14:paraId="66DC47A1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Ⅰ、Ⅱ类水质</w:t>
            </w:r>
          </w:p>
        </w:tc>
        <w:tc>
          <w:tcPr>
            <w:tcW w:w="1237" w:type="dxa"/>
            <w:noWrap w:val="0"/>
            <w:vAlign w:val="center"/>
          </w:tcPr>
          <w:p w14:paraId="527FEC2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优</w:t>
            </w:r>
          </w:p>
        </w:tc>
        <w:tc>
          <w:tcPr>
            <w:tcW w:w="4727" w:type="dxa"/>
            <w:noWrap w:val="0"/>
            <w:vAlign w:val="top"/>
          </w:tcPr>
          <w:p w14:paraId="39EAFFBE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饮用水源一级保护区、珍稀水生生物栖息地、鱼虾类产卵场、仔稚幼鱼的索饵场等</w:t>
            </w:r>
          </w:p>
        </w:tc>
      </w:tr>
      <w:tr w14:paraId="2F609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noWrap w:val="0"/>
            <w:vAlign w:val="center"/>
          </w:tcPr>
          <w:p w14:paraId="799B3B0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Ⅲ类水质</w:t>
            </w:r>
          </w:p>
        </w:tc>
        <w:tc>
          <w:tcPr>
            <w:tcW w:w="1237" w:type="dxa"/>
            <w:noWrap w:val="0"/>
            <w:vAlign w:val="center"/>
          </w:tcPr>
          <w:p w14:paraId="29C488DB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良好</w:t>
            </w:r>
          </w:p>
        </w:tc>
        <w:tc>
          <w:tcPr>
            <w:tcW w:w="4727" w:type="dxa"/>
            <w:noWrap w:val="0"/>
            <w:vAlign w:val="top"/>
          </w:tcPr>
          <w:p w14:paraId="40D0AD10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饮用水源二级保护区、鱼虾类越冬场、洄游通道、水产养殖区、游泳区</w:t>
            </w:r>
          </w:p>
        </w:tc>
      </w:tr>
      <w:tr w14:paraId="63260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noWrap w:val="0"/>
            <w:vAlign w:val="center"/>
          </w:tcPr>
          <w:p w14:paraId="58C51905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Ⅳ类水质</w:t>
            </w:r>
          </w:p>
        </w:tc>
        <w:tc>
          <w:tcPr>
            <w:tcW w:w="1237" w:type="dxa"/>
            <w:noWrap w:val="0"/>
            <w:vAlign w:val="center"/>
          </w:tcPr>
          <w:p w14:paraId="66565399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轻度污染</w:t>
            </w:r>
          </w:p>
        </w:tc>
        <w:tc>
          <w:tcPr>
            <w:tcW w:w="4727" w:type="dxa"/>
            <w:noWrap w:val="0"/>
            <w:vAlign w:val="top"/>
          </w:tcPr>
          <w:p w14:paraId="31A4E5D9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一般工业用水和人体非直接接触的娱乐用水</w:t>
            </w:r>
          </w:p>
        </w:tc>
      </w:tr>
      <w:tr w14:paraId="31A6F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noWrap w:val="0"/>
            <w:vAlign w:val="top"/>
          </w:tcPr>
          <w:p w14:paraId="19E160E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Ⅴ类水质</w:t>
            </w:r>
          </w:p>
        </w:tc>
        <w:tc>
          <w:tcPr>
            <w:tcW w:w="1237" w:type="dxa"/>
            <w:noWrap w:val="0"/>
            <w:vAlign w:val="top"/>
          </w:tcPr>
          <w:p w14:paraId="28DB957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中度污染</w:t>
            </w:r>
          </w:p>
        </w:tc>
        <w:tc>
          <w:tcPr>
            <w:tcW w:w="4727" w:type="dxa"/>
            <w:noWrap w:val="0"/>
            <w:vAlign w:val="top"/>
          </w:tcPr>
          <w:p w14:paraId="73C6B2EB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农业用水及一般景观用水</w:t>
            </w:r>
          </w:p>
        </w:tc>
      </w:tr>
      <w:tr w14:paraId="52A27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noWrap w:val="0"/>
            <w:vAlign w:val="top"/>
          </w:tcPr>
          <w:p w14:paraId="1457FB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劣Ⅴ类水质</w:t>
            </w:r>
          </w:p>
        </w:tc>
        <w:tc>
          <w:tcPr>
            <w:tcW w:w="1237" w:type="dxa"/>
            <w:noWrap w:val="0"/>
            <w:vAlign w:val="top"/>
          </w:tcPr>
          <w:p w14:paraId="64956D0D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重度污染</w:t>
            </w:r>
          </w:p>
        </w:tc>
        <w:tc>
          <w:tcPr>
            <w:tcW w:w="4727" w:type="dxa"/>
            <w:noWrap w:val="0"/>
            <w:vAlign w:val="top"/>
          </w:tcPr>
          <w:p w14:paraId="0CE87B2C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除调节局部气候外，几乎无使用功能</w:t>
            </w:r>
          </w:p>
        </w:tc>
      </w:tr>
    </w:tbl>
    <w:p w14:paraId="764F734E">
      <w:pPr>
        <w:snapToGrid w:val="0"/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4F72282A">
      <w:pPr>
        <w:snapToGrid w:val="0"/>
        <w:spacing w:line="520" w:lineRule="exact"/>
        <w:ind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河流、水系水质类别比例与水质定性评价分级的对应关系见附表2。对于断面数少于5个的河流、水系，按附表1直接指出每个断面的水质状况。</w:t>
      </w:r>
    </w:p>
    <w:p w14:paraId="71A63A7C">
      <w:pPr>
        <w:autoSpaceDE w:val="0"/>
        <w:autoSpaceDN w:val="0"/>
        <w:adjustRightInd w:val="0"/>
        <w:spacing w:line="520" w:lineRule="exact"/>
        <w:ind w:firstLine="627" w:firstLineChars="196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/>
          <w:kern w:val="0"/>
          <w:sz w:val="32"/>
          <w:szCs w:val="32"/>
        </w:rPr>
        <w:t>附表2  河流、水系水质定性评价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3"/>
        <w:gridCol w:w="1344"/>
      </w:tblGrid>
      <w:tr w14:paraId="6090E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3" w:type="dxa"/>
            <w:noWrap w:val="0"/>
            <w:vAlign w:val="top"/>
          </w:tcPr>
          <w:p w14:paraId="0B752A0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水质类别比例</w:t>
            </w:r>
          </w:p>
        </w:tc>
        <w:tc>
          <w:tcPr>
            <w:tcW w:w="1344" w:type="dxa"/>
            <w:noWrap w:val="0"/>
            <w:vAlign w:val="top"/>
          </w:tcPr>
          <w:p w14:paraId="6834189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水质状况</w:t>
            </w:r>
          </w:p>
        </w:tc>
      </w:tr>
      <w:tr w14:paraId="771A8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3" w:type="dxa"/>
            <w:noWrap w:val="0"/>
            <w:vAlign w:val="top"/>
          </w:tcPr>
          <w:p w14:paraId="72181C9F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Ⅰ～Ⅲ类水质比例≥90%</w:t>
            </w:r>
          </w:p>
        </w:tc>
        <w:tc>
          <w:tcPr>
            <w:tcW w:w="1344" w:type="dxa"/>
            <w:noWrap w:val="0"/>
            <w:vAlign w:val="top"/>
          </w:tcPr>
          <w:p w14:paraId="7EA3F585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优</w:t>
            </w:r>
          </w:p>
        </w:tc>
      </w:tr>
      <w:tr w14:paraId="45198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3" w:type="dxa"/>
            <w:noWrap w:val="0"/>
            <w:vAlign w:val="top"/>
          </w:tcPr>
          <w:p w14:paraId="159AA9C1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75%≤Ⅰ～Ⅲ类水质比例＜90%</w:t>
            </w:r>
          </w:p>
        </w:tc>
        <w:tc>
          <w:tcPr>
            <w:tcW w:w="1344" w:type="dxa"/>
            <w:noWrap w:val="0"/>
            <w:vAlign w:val="top"/>
          </w:tcPr>
          <w:p w14:paraId="799E27D8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良好</w:t>
            </w:r>
          </w:p>
        </w:tc>
      </w:tr>
      <w:tr w14:paraId="5AB24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3" w:type="dxa"/>
            <w:noWrap w:val="0"/>
            <w:vAlign w:val="top"/>
          </w:tcPr>
          <w:p w14:paraId="6B640FE8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Ⅰ～Ⅲ类水质比例＜75%，且劣Ⅴ类比例＜20%</w:t>
            </w:r>
          </w:p>
        </w:tc>
        <w:tc>
          <w:tcPr>
            <w:tcW w:w="1344" w:type="dxa"/>
            <w:noWrap w:val="0"/>
            <w:vAlign w:val="top"/>
          </w:tcPr>
          <w:p w14:paraId="3F6021BE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轻度污染</w:t>
            </w:r>
          </w:p>
        </w:tc>
      </w:tr>
      <w:tr w14:paraId="3281C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3" w:type="dxa"/>
            <w:noWrap w:val="0"/>
            <w:vAlign w:val="top"/>
          </w:tcPr>
          <w:p w14:paraId="7B2E28BE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Ⅰ～Ⅲ类水质比例＜75%，且20%≤劣Ⅴ类比例＜40%</w:t>
            </w:r>
          </w:p>
        </w:tc>
        <w:tc>
          <w:tcPr>
            <w:tcW w:w="1344" w:type="dxa"/>
            <w:noWrap w:val="0"/>
            <w:vAlign w:val="top"/>
          </w:tcPr>
          <w:p w14:paraId="1F83CCBF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中度污染</w:t>
            </w:r>
          </w:p>
        </w:tc>
      </w:tr>
      <w:tr w14:paraId="1B5C2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3" w:type="dxa"/>
            <w:noWrap w:val="0"/>
            <w:vAlign w:val="top"/>
          </w:tcPr>
          <w:p w14:paraId="7770B82C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Ⅰ～Ⅲ类水质比例＜60%，且劣Ⅴ类比例≥40%</w:t>
            </w:r>
          </w:p>
        </w:tc>
        <w:tc>
          <w:tcPr>
            <w:tcW w:w="1344" w:type="dxa"/>
            <w:noWrap w:val="0"/>
            <w:vAlign w:val="top"/>
          </w:tcPr>
          <w:p w14:paraId="00A7F4F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重度污染</w:t>
            </w:r>
          </w:p>
        </w:tc>
      </w:tr>
    </w:tbl>
    <w:p w14:paraId="62094CEB">
      <w:pPr>
        <w:snapToGrid w:val="0"/>
        <w:spacing w:line="520" w:lineRule="exact"/>
        <w:ind w:firstLine="640" w:firstLineChars="200"/>
        <w:rPr>
          <w:rFonts w:eastAsia="仿宋_GB2312"/>
          <w:sz w:val="30"/>
          <w:szCs w:val="30"/>
        </w:rPr>
      </w:pPr>
      <w:r>
        <w:rPr>
          <w:rFonts w:ascii="仿宋_GB2312" w:eastAsia="仿宋_GB2312"/>
          <w:sz w:val="32"/>
          <w:szCs w:val="32"/>
        </w:rPr>
        <w:t>地表水环境质量定性评价方法执行中国环境监测总站（总站综字[2004]72号）文件。</w:t>
      </w:r>
    </w:p>
    <w:p w14:paraId="32B3942C">
      <w:pPr>
        <w:snapToGrid w:val="0"/>
        <w:spacing w:line="520" w:lineRule="exact"/>
        <w:ind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河流、水系水质类别比例与水质定性评价分级的对应关系见附表2。对于断面数少于5个的河流、水系，按附表1直接指出每个断面的水质状况。</w:t>
      </w:r>
    </w:p>
    <w:p w14:paraId="3ACE0542">
      <w:pPr>
        <w:autoSpaceDE w:val="0"/>
        <w:autoSpaceDN w:val="0"/>
        <w:adjustRightInd w:val="0"/>
        <w:spacing w:line="520" w:lineRule="exact"/>
        <w:ind w:firstLine="627" w:firstLineChars="196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/>
          <w:kern w:val="0"/>
          <w:sz w:val="32"/>
          <w:szCs w:val="32"/>
        </w:rPr>
        <w:t>附表2  河流、水系水质定性评价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3"/>
        <w:gridCol w:w="1344"/>
      </w:tblGrid>
      <w:tr w14:paraId="428DA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3" w:type="dxa"/>
            <w:noWrap w:val="0"/>
            <w:vAlign w:val="top"/>
          </w:tcPr>
          <w:p w14:paraId="54008323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水质类别比例</w:t>
            </w:r>
          </w:p>
        </w:tc>
        <w:tc>
          <w:tcPr>
            <w:tcW w:w="1344" w:type="dxa"/>
            <w:noWrap w:val="0"/>
            <w:vAlign w:val="top"/>
          </w:tcPr>
          <w:p w14:paraId="754DB682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水质状况</w:t>
            </w:r>
          </w:p>
        </w:tc>
      </w:tr>
      <w:tr w14:paraId="78B91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3" w:type="dxa"/>
            <w:noWrap w:val="0"/>
            <w:vAlign w:val="top"/>
          </w:tcPr>
          <w:p w14:paraId="021E1734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Ⅰ～Ⅲ类水质比例≥90%</w:t>
            </w:r>
          </w:p>
        </w:tc>
        <w:tc>
          <w:tcPr>
            <w:tcW w:w="1344" w:type="dxa"/>
            <w:noWrap w:val="0"/>
            <w:vAlign w:val="top"/>
          </w:tcPr>
          <w:p w14:paraId="22395177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优</w:t>
            </w:r>
          </w:p>
        </w:tc>
      </w:tr>
      <w:tr w14:paraId="628D6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3" w:type="dxa"/>
            <w:noWrap w:val="0"/>
            <w:vAlign w:val="top"/>
          </w:tcPr>
          <w:p w14:paraId="58417CBC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75%≤Ⅰ～Ⅲ类水质比例＜90%</w:t>
            </w:r>
          </w:p>
        </w:tc>
        <w:tc>
          <w:tcPr>
            <w:tcW w:w="1344" w:type="dxa"/>
            <w:noWrap w:val="0"/>
            <w:vAlign w:val="top"/>
          </w:tcPr>
          <w:p w14:paraId="42580AEE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良好</w:t>
            </w:r>
          </w:p>
        </w:tc>
      </w:tr>
      <w:tr w14:paraId="38509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3" w:type="dxa"/>
            <w:noWrap w:val="0"/>
            <w:vAlign w:val="top"/>
          </w:tcPr>
          <w:p w14:paraId="63CE3DDF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Ⅰ～Ⅲ类水质比例＜75%，且劣Ⅴ类比例＜20%</w:t>
            </w:r>
          </w:p>
        </w:tc>
        <w:tc>
          <w:tcPr>
            <w:tcW w:w="1344" w:type="dxa"/>
            <w:noWrap w:val="0"/>
            <w:vAlign w:val="top"/>
          </w:tcPr>
          <w:p w14:paraId="27E3D03E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轻度污染</w:t>
            </w:r>
          </w:p>
        </w:tc>
      </w:tr>
      <w:tr w14:paraId="46635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3" w:type="dxa"/>
            <w:noWrap w:val="0"/>
            <w:vAlign w:val="top"/>
          </w:tcPr>
          <w:p w14:paraId="3ED88D5F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Ⅰ～Ⅲ类水质比例＜75%，且20%≤劣Ⅴ类比例＜40%</w:t>
            </w:r>
          </w:p>
        </w:tc>
        <w:tc>
          <w:tcPr>
            <w:tcW w:w="1344" w:type="dxa"/>
            <w:noWrap w:val="0"/>
            <w:vAlign w:val="top"/>
          </w:tcPr>
          <w:p w14:paraId="1120A96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中度污染</w:t>
            </w:r>
          </w:p>
        </w:tc>
      </w:tr>
      <w:tr w14:paraId="1DDF0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3" w:type="dxa"/>
            <w:noWrap w:val="0"/>
            <w:vAlign w:val="top"/>
          </w:tcPr>
          <w:p w14:paraId="6A785168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Ⅰ～Ⅲ类水质比例＜60%，且劣Ⅴ类比例≥40%</w:t>
            </w:r>
          </w:p>
        </w:tc>
        <w:tc>
          <w:tcPr>
            <w:tcW w:w="1344" w:type="dxa"/>
            <w:noWrap w:val="0"/>
            <w:vAlign w:val="top"/>
          </w:tcPr>
          <w:p w14:paraId="00AD00BA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重度污染</w:t>
            </w:r>
          </w:p>
        </w:tc>
      </w:tr>
    </w:tbl>
    <w:p w14:paraId="436F375B">
      <w:pPr>
        <w:snapToGrid w:val="0"/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地表水环境质量定性评价方法执行中国环境监测总站（总站综字[2004]72号）文件。</w:t>
      </w:r>
    </w:p>
    <w:p w14:paraId="3D511200">
      <w:pPr>
        <w:spacing w:before="120" w:beforeLines="50" w:after="120" w:afterLines="50" w:line="720" w:lineRule="exact"/>
        <w:rPr>
          <w:rFonts w:eastAsia="仿宋_GB2312"/>
          <w:sz w:val="30"/>
          <w:szCs w:val="30"/>
        </w:rPr>
      </w:pPr>
    </w:p>
    <w:p w14:paraId="1F639448">
      <w:pPr>
        <w:spacing w:before="120" w:beforeLines="50" w:after="120" w:afterLines="50" w:line="720" w:lineRule="exact"/>
        <w:rPr>
          <w:rFonts w:eastAsia="仿宋_GB2312"/>
          <w:sz w:val="30"/>
          <w:szCs w:val="30"/>
        </w:rPr>
      </w:pPr>
    </w:p>
    <w:tbl>
      <w:tblPr>
        <w:tblStyle w:val="3"/>
        <w:tblW w:w="77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1710"/>
        <w:gridCol w:w="1935"/>
        <w:gridCol w:w="2415"/>
      </w:tblGrid>
      <w:tr w14:paraId="35847F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2BC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   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683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空气质量指数（</w:t>
            </w:r>
            <w:r>
              <w:rPr>
                <w:rStyle w:val="5"/>
                <w:rFonts w:eastAsia="宋体"/>
                <w:lang w:val="en-US" w:eastAsia="zh-CN" w:bidi="ar"/>
              </w:rPr>
              <w:t>AQI</w:t>
            </w:r>
            <w:r>
              <w:rPr>
                <w:rStyle w:val="6"/>
                <w:lang w:val="en-US" w:eastAsia="zh-CN" w:bidi="ar"/>
              </w:rPr>
              <w:t>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C3A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首要污染物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4F9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质量类别</w:t>
            </w:r>
          </w:p>
        </w:tc>
      </w:tr>
      <w:tr w14:paraId="692B30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203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07F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62B19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01B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</w:t>
            </w:r>
          </w:p>
        </w:tc>
      </w:tr>
      <w:tr w14:paraId="71B8DA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99E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244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88249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FC1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</w:t>
            </w:r>
          </w:p>
        </w:tc>
      </w:tr>
      <w:tr w14:paraId="76DF09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15B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ADC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98F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FF5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1C438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943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139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F53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AD2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6D3B82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80B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F22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B37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C17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6370C4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6C6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5B3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80B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AD9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26AD1C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34D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4DD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8B7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E3F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3B929E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D6D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4BA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D3F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929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7277EE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C2C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FA1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788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716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73BD35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B38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5E9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63E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85C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465A7F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30C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58B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723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8AB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3CC17D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1A0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B21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6C3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155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224BB5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49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6BC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79F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C27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315CD2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CE0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FEE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814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1B9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3F89D2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A8E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C05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5C066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857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</w:t>
            </w:r>
          </w:p>
        </w:tc>
      </w:tr>
      <w:tr w14:paraId="728763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D74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946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84BAE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C4A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</w:t>
            </w:r>
          </w:p>
        </w:tc>
      </w:tr>
      <w:tr w14:paraId="79A1EA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121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61E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D3E1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7BC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</w:t>
            </w:r>
          </w:p>
        </w:tc>
      </w:tr>
      <w:tr w14:paraId="59CC2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6F8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546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C0AD8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DD2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</w:t>
            </w:r>
          </w:p>
        </w:tc>
      </w:tr>
      <w:tr w14:paraId="73C4C6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DE7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50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10A09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DAA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</w:t>
            </w:r>
          </w:p>
        </w:tc>
      </w:tr>
      <w:tr w14:paraId="1C5AF0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354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CA6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116B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4BF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</w:t>
            </w:r>
          </w:p>
        </w:tc>
      </w:tr>
      <w:tr w14:paraId="5C7D02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232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A5D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F45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C0A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015CF9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13E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.22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CB2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53928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D0D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</w:t>
            </w:r>
          </w:p>
        </w:tc>
      </w:tr>
      <w:tr w14:paraId="5C6CD5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F74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.23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EAF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206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53F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3324B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1E5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.24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E58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38F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052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64812D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54B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.25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DE5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B02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6CC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0BC62C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B8D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.26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043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86E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27E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</w:t>
            </w:r>
          </w:p>
        </w:tc>
      </w:tr>
      <w:tr w14:paraId="3176F0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E9D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.27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7B1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02EE1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C7F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</w:t>
            </w:r>
          </w:p>
        </w:tc>
      </w:tr>
      <w:tr w14:paraId="454D1F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C48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.28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544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C5A9D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BBB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</w:t>
            </w:r>
          </w:p>
        </w:tc>
      </w:tr>
    </w:tbl>
    <w:p w14:paraId="36D2CB99"/>
    <w:p w14:paraId="4FB529F6"/>
    <w:p w14:paraId="4E32A98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EB5FF4"/>
    <w:multiLevelType w:val="multilevel"/>
    <w:tmpl w:val="3FEB5FF4"/>
    <w:lvl w:ilvl="0" w:tentative="0">
      <w:start w:val="1"/>
      <w:numFmt w:val="decimalEnclosedParen"/>
      <w:lvlText w:val="%1"/>
      <w:lvlJc w:val="left"/>
      <w:pPr>
        <w:ind w:left="1000" w:hanging="360"/>
      </w:pPr>
      <w:rPr>
        <w:rFonts w:hint="default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iNWMwMTRkMTIxZTE0YzkzZWNmMmFlNjNmMGJiYzQifQ=="/>
  </w:docVars>
  <w:rsids>
    <w:rsidRoot w:val="00000000"/>
    <w:rsid w:val="047178E3"/>
    <w:rsid w:val="5106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21"/>
    <w:basedOn w:val="4"/>
    <w:qFormat/>
    <w:uiPriority w:val="0"/>
    <w:rPr>
      <w:rFonts w:ascii="Calibri" w:hAnsi="Calibri" w:cs="Calibri"/>
      <w:b/>
      <w:color w:val="000000"/>
      <w:sz w:val="21"/>
      <w:szCs w:val="21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3281</Words>
  <Characters>4130</Characters>
  <Lines>0</Lines>
  <Paragraphs>0</Paragraphs>
  <TotalTime>6</TotalTime>
  <ScaleCrop>false</ScaleCrop>
  <LinksUpToDate>false</LinksUpToDate>
  <CharactersWithSpaces>4175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2025-04-10T06:39:00Z</dcterms:created>
  <dc:creator>Administrator</dc:creator>
  <cp:lastModifiedBy>鲲</cp:lastModifiedBy>
  <dcterms:modified xsi:type="dcterms:W3CDTF">2025-04-11T00:43:22Z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KSOTemplateDocerSaveRecord">
    <vt:lpwstr>eyJoZGlkIjoiYTY5N2IwM2I0MGJmYWY4ZjMyMzE5ZmMxNjI0MjQ1ZTAiLCJ1c2VySWQiOiI1ODUzNDk1MjcifQ==</vt:lpwstr>
  </property>
  <property fmtid="{D5CDD505-2E9C-101B-9397-08002B2CF9AE}" pid="4" name="ICV">
    <vt:lpwstr>23BCCCCFBBC84821876D10BFD7690ED9_13</vt:lpwstr>
  </property>
</Properties>
</file>