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bookmarkStart w:id="0" w:name="_Toc262108284"/>
      <w:bookmarkStart w:id="1" w:name="_Toc263089071"/>
      <w:bookmarkStart w:id="2" w:name="_Toc263088924"/>
    </w:p>
    <w:p>
      <w:pPr>
        <w:pStyle w:val="12"/>
      </w:pPr>
    </w:p>
    <w:p>
      <w:pPr>
        <w:spacing w:beforeLines="50" w:line="480" w:lineRule="auto"/>
        <w:jc w:val="center"/>
        <w:rPr>
          <w:b/>
          <w:sz w:val="48"/>
          <w:szCs w:val="48"/>
        </w:rPr>
      </w:pPr>
    </w:p>
    <w:p>
      <w:pPr>
        <w:spacing w:beforeLines="50" w:line="480" w:lineRule="auto"/>
        <w:jc w:val="center"/>
        <w:rPr>
          <w:b/>
          <w:sz w:val="48"/>
          <w:szCs w:val="48"/>
        </w:rPr>
      </w:pPr>
      <w:r>
        <w:rPr>
          <w:b/>
          <w:sz w:val="48"/>
          <w:szCs w:val="48"/>
        </w:rPr>
        <w:t>年</w:t>
      </w:r>
      <w:r>
        <w:rPr>
          <w:rFonts w:hint="eastAsia"/>
          <w:b/>
          <w:sz w:val="48"/>
          <w:szCs w:val="48"/>
        </w:rPr>
        <w:t>产</w:t>
      </w:r>
      <w:r>
        <w:rPr>
          <w:rFonts w:hint="eastAsia"/>
          <w:b/>
          <w:sz w:val="48"/>
          <w:szCs w:val="48"/>
          <w:lang w:eastAsia="zh-CN"/>
        </w:rPr>
        <w:t>180万</w:t>
      </w:r>
      <w:r>
        <w:rPr>
          <w:rFonts w:hint="eastAsia"/>
          <w:b/>
          <w:sz w:val="48"/>
          <w:szCs w:val="48"/>
        </w:rPr>
        <w:t>把</w:t>
      </w:r>
      <w:r>
        <w:rPr>
          <w:b/>
          <w:sz w:val="48"/>
          <w:szCs w:val="48"/>
        </w:rPr>
        <w:t>扳手生产线建设项目</w:t>
      </w:r>
    </w:p>
    <w:p>
      <w:pPr>
        <w:spacing w:beforeLines="50" w:line="480" w:lineRule="auto"/>
        <w:jc w:val="center"/>
        <w:rPr>
          <w:b/>
          <w:sz w:val="48"/>
          <w:szCs w:val="48"/>
        </w:rPr>
      </w:pPr>
      <w:r>
        <w:rPr>
          <w:b/>
          <w:sz w:val="52"/>
          <w:szCs w:val="52"/>
        </w:rPr>
        <w:t>环境影响报告表</w:t>
      </w:r>
    </w:p>
    <w:p>
      <w:pPr>
        <w:jc w:val="center"/>
        <w:rPr>
          <w:sz w:val="32"/>
          <w:szCs w:val="32"/>
        </w:rPr>
      </w:pPr>
      <w:r>
        <w:rPr>
          <w:sz w:val="32"/>
          <w:szCs w:val="32"/>
        </w:rPr>
        <w:t>（</w:t>
      </w:r>
      <w:r>
        <w:rPr>
          <w:rFonts w:hint="eastAsia"/>
          <w:sz w:val="32"/>
          <w:szCs w:val="32"/>
        </w:rPr>
        <w:t>报批</w:t>
      </w:r>
      <w:r>
        <w:rPr>
          <w:sz w:val="32"/>
          <w:szCs w:val="32"/>
        </w:rPr>
        <w:t>稿）</w:t>
      </w:r>
    </w:p>
    <w:p>
      <w:pPr>
        <w:jc w:val="center"/>
        <w:rPr>
          <w:sz w:val="44"/>
          <w:szCs w:val="44"/>
        </w:rPr>
      </w:pPr>
    </w:p>
    <w:p>
      <w:pPr>
        <w:jc w:val="center"/>
        <w:rPr>
          <w:sz w:val="44"/>
          <w:szCs w:val="44"/>
        </w:rPr>
      </w:pPr>
    </w:p>
    <w:p>
      <w:pPr>
        <w:jc w:val="center"/>
        <w:rPr>
          <w:sz w:val="44"/>
          <w:szCs w:val="44"/>
        </w:rPr>
      </w:pPr>
    </w:p>
    <w:p>
      <w:pPr>
        <w:jc w:val="center"/>
        <w:rPr>
          <w:sz w:val="44"/>
          <w:szCs w:val="44"/>
        </w:rPr>
      </w:pPr>
    </w:p>
    <w:p>
      <w:pPr>
        <w:spacing w:line="480" w:lineRule="auto"/>
        <w:rPr>
          <w:sz w:val="44"/>
          <w:szCs w:val="44"/>
        </w:rPr>
      </w:pPr>
    </w:p>
    <w:p>
      <w:pPr>
        <w:spacing w:line="636" w:lineRule="auto"/>
        <w:ind w:firstLine="565" w:firstLineChars="176"/>
        <w:rPr>
          <w:b/>
          <w:bCs/>
          <w:sz w:val="32"/>
          <w:szCs w:val="32"/>
        </w:rPr>
      </w:pPr>
      <w:r>
        <w:rPr>
          <w:b/>
          <w:bCs/>
          <w:sz w:val="32"/>
          <w:szCs w:val="32"/>
        </w:rPr>
        <w:t>建设单位：</w:t>
      </w:r>
      <w:r>
        <w:rPr>
          <w:b/>
          <w:bCs/>
          <w:sz w:val="32"/>
          <w:szCs w:val="32"/>
          <w:u w:val="thick"/>
        </w:rPr>
        <w:t xml:space="preserve">        </w:t>
      </w:r>
      <w:r>
        <w:rPr>
          <w:rFonts w:hint="eastAsia"/>
          <w:b/>
          <w:bCs/>
          <w:sz w:val="32"/>
          <w:szCs w:val="32"/>
          <w:u w:val="thick"/>
          <w:lang w:eastAsia="zh-CN"/>
        </w:rPr>
        <w:t>邵东县兴顺五金工具厂</w:t>
      </w:r>
      <w:r>
        <w:rPr>
          <w:b/>
          <w:bCs/>
          <w:sz w:val="32"/>
          <w:szCs w:val="32"/>
          <w:u w:val="thick"/>
        </w:rPr>
        <w:t xml:space="preserve">         </w:t>
      </w:r>
    </w:p>
    <w:p>
      <w:pPr>
        <w:spacing w:line="636" w:lineRule="auto"/>
        <w:ind w:firstLine="565" w:firstLineChars="176"/>
        <w:rPr>
          <w:b/>
          <w:bCs/>
          <w:sz w:val="32"/>
          <w:szCs w:val="32"/>
        </w:rPr>
      </w:pPr>
      <w:r>
        <w:rPr>
          <w:b/>
          <w:bCs/>
          <w:sz w:val="32"/>
          <w:szCs w:val="32"/>
        </w:rPr>
        <w:t>评价单位：</w:t>
      </w:r>
      <w:r>
        <w:rPr>
          <w:b/>
          <w:bCs/>
          <w:sz w:val="32"/>
          <w:szCs w:val="32"/>
          <w:u w:val="thick"/>
        </w:rPr>
        <w:t xml:space="preserve">        </w:t>
      </w:r>
      <w:r>
        <w:rPr>
          <w:rFonts w:hint="eastAsia"/>
          <w:b/>
          <w:bCs/>
          <w:sz w:val="32"/>
          <w:szCs w:val="32"/>
          <w:u w:val="thick"/>
          <w:lang w:eastAsia="zh-CN"/>
        </w:rPr>
        <w:t>贵州博远环咨科技有限公司</w:t>
      </w:r>
      <w:r>
        <w:rPr>
          <w:b/>
          <w:bCs/>
          <w:sz w:val="32"/>
          <w:szCs w:val="32"/>
          <w:u w:val="thick"/>
        </w:rPr>
        <w:t xml:space="preserve">     </w:t>
      </w:r>
    </w:p>
    <w:p>
      <w:pPr>
        <w:spacing w:line="636" w:lineRule="auto"/>
        <w:ind w:firstLine="565" w:firstLineChars="176"/>
        <w:rPr>
          <w:b/>
          <w:bCs/>
          <w:sz w:val="32"/>
          <w:szCs w:val="32"/>
        </w:rPr>
      </w:pPr>
    </w:p>
    <w:p>
      <w:pPr>
        <w:ind w:firstLine="360" w:firstLineChars="100"/>
        <w:jc w:val="center"/>
        <w:rPr>
          <w:sz w:val="36"/>
          <w:szCs w:val="36"/>
        </w:rPr>
      </w:pPr>
    </w:p>
    <w:p>
      <w:pPr>
        <w:ind w:firstLine="360" w:firstLineChars="100"/>
        <w:jc w:val="center"/>
        <w:rPr>
          <w:sz w:val="36"/>
          <w:szCs w:val="36"/>
        </w:rPr>
      </w:pPr>
    </w:p>
    <w:p>
      <w:pPr>
        <w:ind w:left="-34" w:leftChars="-95" w:hanging="165" w:hangingChars="55"/>
        <w:jc w:val="center"/>
        <w:rPr>
          <w:sz w:val="30"/>
          <w:szCs w:val="30"/>
        </w:rPr>
      </w:pPr>
      <w:r>
        <w:rPr>
          <w:sz w:val="30"/>
          <w:szCs w:val="30"/>
        </w:rPr>
        <w:t>编制日期：20</w:t>
      </w:r>
      <w:r>
        <w:rPr>
          <w:rFonts w:hint="eastAsia"/>
          <w:sz w:val="30"/>
          <w:szCs w:val="30"/>
          <w:lang w:val="en-US" w:eastAsia="zh-CN"/>
        </w:rPr>
        <w:t>20</w:t>
      </w:r>
      <w:r>
        <w:rPr>
          <w:sz w:val="30"/>
          <w:szCs w:val="30"/>
        </w:rPr>
        <w:t>年</w:t>
      </w:r>
      <w:r>
        <w:rPr>
          <w:rFonts w:hint="eastAsia"/>
          <w:sz w:val="30"/>
          <w:szCs w:val="30"/>
          <w:lang w:val="en-US" w:eastAsia="zh-CN"/>
        </w:rPr>
        <w:t>10</w:t>
      </w:r>
      <w:r>
        <w:rPr>
          <w:sz w:val="30"/>
          <w:szCs w:val="30"/>
        </w:rPr>
        <w:t>月</w:t>
      </w:r>
    </w:p>
    <w:p>
      <w:pPr>
        <w:pStyle w:val="12"/>
      </w:pPr>
      <w:r>
        <w:br w:type="page"/>
      </w:r>
    </w:p>
    <w:p>
      <w:pPr>
        <w:spacing w:line="680" w:lineRule="exact"/>
        <w:jc w:val="center"/>
        <w:rPr>
          <w:b/>
          <w:spacing w:val="6"/>
          <w:sz w:val="28"/>
          <w:szCs w:val="28"/>
        </w:rPr>
      </w:pPr>
      <w:r>
        <w:rPr>
          <w:b/>
          <w:spacing w:val="6"/>
          <w:sz w:val="28"/>
          <w:szCs w:val="28"/>
        </w:rPr>
        <w:t>《建设项目环境影响报告表》编制说明</w:t>
      </w:r>
    </w:p>
    <w:p>
      <w:pPr>
        <w:spacing w:line="680" w:lineRule="exact"/>
        <w:rPr>
          <w:spacing w:val="6"/>
          <w:sz w:val="24"/>
        </w:rPr>
      </w:pPr>
    </w:p>
    <w:p>
      <w:pPr>
        <w:adjustRightInd w:val="0"/>
        <w:snapToGrid w:val="0"/>
        <w:spacing w:line="680" w:lineRule="exact"/>
        <w:ind w:firstLine="573"/>
        <w:rPr>
          <w:spacing w:val="6"/>
          <w:sz w:val="24"/>
        </w:rPr>
      </w:pPr>
      <w:r>
        <w:rPr>
          <w:spacing w:val="6"/>
          <w:sz w:val="24"/>
        </w:rPr>
        <w:t>《建设项目环境影响报告表》由具有从事环境影响评价工作资质的单位编制。</w:t>
      </w:r>
    </w:p>
    <w:p>
      <w:pPr>
        <w:adjustRightInd w:val="0"/>
        <w:snapToGrid w:val="0"/>
        <w:spacing w:line="680" w:lineRule="exact"/>
        <w:ind w:firstLine="573"/>
        <w:rPr>
          <w:spacing w:val="6"/>
          <w:sz w:val="24"/>
        </w:rPr>
      </w:pPr>
      <w:r>
        <w:rPr>
          <w:spacing w:val="6"/>
          <w:sz w:val="24"/>
        </w:rPr>
        <w:t>1．项目名称——指项目立项批复时的名称，应不超过30个字（两个英文字段作一个汉字）。</w:t>
      </w:r>
    </w:p>
    <w:p>
      <w:pPr>
        <w:adjustRightInd w:val="0"/>
        <w:snapToGrid w:val="0"/>
        <w:spacing w:line="680" w:lineRule="exact"/>
        <w:ind w:firstLine="573"/>
        <w:rPr>
          <w:spacing w:val="6"/>
          <w:sz w:val="24"/>
        </w:rPr>
      </w:pPr>
      <w:r>
        <w:rPr>
          <w:spacing w:val="6"/>
          <w:sz w:val="24"/>
        </w:rPr>
        <w:t>2．建设地点——指项目所在地详细地址，公路、铁路应填写起止地点。</w:t>
      </w:r>
    </w:p>
    <w:p>
      <w:pPr>
        <w:adjustRightInd w:val="0"/>
        <w:snapToGrid w:val="0"/>
        <w:spacing w:line="680" w:lineRule="exact"/>
        <w:ind w:firstLine="573"/>
        <w:rPr>
          <w:spacing w:val="6"/>
          <w:sz w:val="24"/>
        </w:rPr>
      </w:pPr>
      <w:r>
        <w:rPr>
          <w:spacing w:val="6"/>
          <w:sz w:val="24"/>
        </w:rPr>
        <w:t>3．行业类别——按国标填写。</w:t>
      </w:r>
    </w:p>
    <w:p>
      <w:pPr>
        <w:adjustRightInd w:val="0"/>
        <w:snapToGrid w:val="0"/>
        <w:spacing w:line="680" w:lineRule="exact"/>
        <w:ind w:firstLine="573"/>
        <w:rPr>
          <w:spacing w:val="6"/>
          <w:sz w:val="24"/>
        </w:rPr>
      </w:pPr>
      <w:r>
        <w:rPr>
          <w:spacing w:val="6"/>
          <w:sz w:val="24"/>
        </w:rPr>
        <w:t>4．总投资——指项目投资总额。</w:t>
      </w:r>
    </w:p>
    <w:p>
      <w:pPr>
        <w:adjustRightInd w:val="0"/>
        <w:snapToGrid w:val="0"/>
        <w:spacing w:line="680" w:lineRule="exact"/>
        <w:ind w:firstLine="573"/>
        <w:rPr>
          <w:spacing w:val="6"/>
          <w:sz w:val="24"/>
        </w:rPr>
      </w:pPr>
      <w:r>
        <w:rPr>
          <w:spacing w:val="6"/>
          <w:sz w:val="24"/>
        </w:rPr>
        <w:t>5．主要环境保护目标——指项目周围一定范围内集中居民住宅区、学校、医院、保护文物、风景名胜区、水源地和生态敏感点等，应尽可能给出保护目标、性质、规模和距厂界距离等。</w:t>
      </w:r>
    </w:p>
    <w:p>
      <w:pPr>
        <w:adjustRightInd w:val="0"/>
        <w:snapToGrid w:val="0"/>
        <w:spacing w:line="680" w:lineRule="exact"/>
        <w:ind w:firstLine="573"/>
        <w:rPr>
          <w:spacing w:val="6"/>
          <w:sz w:val="24"/>
        </w:rPr>
      </w:pPr>
      <w:r>
        <w:rPr>
          <w:spacing w:val="6"/>
          <w:sz w:val="24"/>
        </w:rPr>
        <w:t>6．结论与建议——给出本项目清洁生产、达标排放和总量控制的分析结论，确定污染防治措施的有效性，说明本项目对环境造成的影响，给出建设项目环境可行性的明确结论。同时提出减少环境影响的其他建议。</w:t>
      </w:r>
    </w:p>
    <w:p>
      <w:pPr>
        <w:adjustRightInd w:val="0"/>
        <w:snapToGrid w:val="0"/>
        <w:spacing w:line="680" w:lineRule="exact"/>
        <w:ind w:firstLine="573"/>
        <w:rPr>
          <w:spacing w:val="6"/>
          <w:sz w:val="24"/>
        </w:rPr>
      </w:pPr>
      <w:r>
        <w:rPr>
          <w:spacing w:val="6"/>
          <w:sz w:val="24"/>
        </w:rPr>
        <w:t>7．预审意见——由行业主管部门填写答复意见，无主管部门项目，可不填。</w:t>
      </w:r>
    </w:p>
    <w:p>
      <w:pPr>
        <w:adjustRightInd w:val="0"/>
        <w:snapToGrid w:val="0"/>
        <w:spacing w:line="680" w:lineRule="exact"/>
        <w:ind w:firstLine="480"/>
        <w:rPr>
          <w:spacing w:val="6"/>
          <w:sz w:val="24"/>
        </w:rPr>
      </w:pPr>
      <w:r>
        <w:rPr>
          <w:spacing w:val="6"/>
          <w:sz w:val="24"/>
        </w:rPr>
        <w:t>8．审批意见——由负责审批该项目的环境保护行政主管部门批复。</w:t>
      </w:r>
    </w:p>
    <w:p>
      <w:pPr>
        <w:pStyle w:val="12"/>
      </w:pPr>
    </w:p>
    <w:p>
      <w:pPr>
        <w:pStyle w:val="12"/>
      </w:pPr>
    </w:p>
    <w:p>
      <w:pPr>
        <w:pStyle w:val="12"/>
      </w:pPr>
    </w:p>
    <w:p>
      <w:pPr>
        <w:pStyle w:val="12"/>
      </w:pPr>
    </w:p>
    <w:p>
      <w:pPr>
        <w:pStyle w:val="12"/>
      </w:pPr>
      <w:r>
        <w:br w:type="page"/>
      </w:r>
    </w:p>
    <w:p>
      <w:pPr>
        <w:pStyle w:val="71"/>
        <w:spacing w:line="480" w:lineRule="exact"/>
        <w:jc w:val="center"/>
        <w:rPr>
          <w:sz w:val="24"/>
          <w:szCs w:val="24"/>
        </w:rPr>
      </w:pPr>
      <w:r>
        <w:rPr>
          <w:sz w:val="24"/>
          <w:szCs w:val="24"/>
          <w:lang w:val="zh-CN"/>
        </w:rPr>
        <w:t>目录</w:t>
      </w:r>
    </w:p>
    <w:p>
      <w:pPr>
        <w:pStyle w:val="25"/>
        <w:tabs>
          <w:tab w:val="right" w:leader="dot" w:pos="9084"/>
        </w:tabs>
        <w:spacing w:line="360" w:lineRule="auto"/>
        <w:rPr>
          <w:b w:val="0"/>
          <w:bCs w:val="0"/>
          <w:caps w:val="0"/>
          <w:sz w:val="24"/>
          <w:szCs w:val="24"/>
        </w:rPr>
      </w:pPr>
      <w:r>
        <w:rPr>
          <w:b w:val="0"/>
          <w:sz w:val="24"/>
          <w:szCs w:val="24"/>
        </w:rPr>
        <w:fldChar w:fldCharType="begin"/>
      </w:r>
      <w:r>
        <w:rPr>
          <w:b w:val="0"/>
          <w:sz w:val="24"/>
          <w:szCs w:val="24"/>
        </w:rPr>
        <w:instrText xml:space="preserve"> TOC \o "1-3" \h \z \u </w:instrText>
      </w:r>
      <w:r>
        <w:rPr>
          <w:b w:val="0"/>
          <w:sz w:val="24"/>
          <w:szCs w:val="24"/>
        </w:rPr>
        <w:fldChar w:fldCharType="separate"/>
      </w:r>
      <w:r>
        <w:fldChar w:fldCharType="begin"/>
      </w:r>
      <w:r>
        <w:instrText xml:space="preserve"> HYPERLINK \l "_Toc514143743" </w:instrText>
      </w:r>
      <w:r>
        <w:fldChar w:fldCharType="separate"/>
      </w:r>
      <w:r>
        <w:rPr>
          <w:rStyle w:val="45"/>
          <w:b w:val="0"/>
          <w:color w:val="auto"/>
          <w:sz w:val="24"/>
          <w:szCs w:val="24"/>
        </w:rPr>
        <w:t>一、建设项目基本情况</w:t>
      </w:r>
      <w:r>
        <w:rPr>
          <w:b w:val="0"/>
          <w:sz w:val="24"/>
          <w:szCs w:val="24"/>
        </w:rPr>
        <w:tab/>
      </w:r>
      <w:r>
        <w:rPr>
          <w:b w:val="0"/>
          <w:sz w:val="24"/>
          <w:szCs w:val="24"/>
        </w:rPr>
        <w:fldChar w:fldCharType="begin"/>
      </w:r>
      <w:r>
        <w:rPr>
          <w:b w:val="0"/>
          <w:sz w:val="24"/>
          <w:szCs w:val="24"/>
        </w:rPr>
        <w:instrText xml:space="preserve"> PAGEREF _Toc514143743 \h </w:instrText>
      </w:r>
      <w:r>
        <w:rPr>
          <w:b w:val="0"/>
          <w:sz w:val="24"/>
          <w:szCs w:val="24"/>
        </w:rPr>
        <w:fldChar w:fldCharType="separate"/>
      </w:r>
      <w:r>
        <w:rPr>
          <w:b w:val="0"/>
          <w:sz w:val="24"/>
          <w:szCs w:val="24"/>
        </w:rPr>
        <w:t>1</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"_Toc514143745" </w:instrText>
      </w:r>
      <w:r>
        <w:fldChar w:fldCharType="separate"/>
      </w:r>
      <w:r>
        <w:rPr>
          <w:rStyle w:val="45"/>
          <w:b w:val="0"/>
          <w:color w:val="auto"/>
          <w:sz w:val="24"/>
          <w:szCs w:val="24"/>
        </w:rPr>
        <w:t>二、建设项目所在地自然环境简况</w:t>
      </w:r>
      <w:r>
        <w:rPr>
          <w:b w:val="0"/>
          <w:sz w:val="24"/>
          <w:szCs w:val="24"/>
        </w:rPr>
        <w:tab/>
      </w:r>
      <w:r>
        <w:rPr>
          <w:b w:val="0"/>
          <w:sz w:val="24"/>
          <w:szCs w:val="24"/>
        </w:rPr>
        <w:fldChar w:fldCharType="begin"/>
      </w:r>
      <w:r>
        <w:rPr>
          <w:b w:val="0"/>
          <w:sz w:val="24"/>
          <w:szCs w:val="24"/>
        </w:rPr>
        <w:instrText xml:space="preserve"> PAGEREF _Toc514143745 \h </w:instrText>
      </w:r>
      <w:r>
        <w:rPr>
          <w:b w:val="0"/>
          <w:sz w:val="24"/>
          <w:szCs w:val="24"/>
        </w:rPr>
        <w:fldChar w:fldCharType="separate"/>
      </w:r>
      <w:r>
        <w:rPr>
          <w:b w:val="0"/>
          <w:sz w:val="24"/>
          <w:szCs w:val="24"/>
        </w:rPr>
        <w:t>7</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"_Toc514143746" </w:instrText>
      </w:r>
      <w:r>
        <w:fldChar w:fldCharType="separate"/>
      </w:r>
      <w:r>
        <w:rPr>
          <w:rStyle w:val="45"/>
          <w:b w:val="0"/>
          <w:color w:val="auto"/>
          <w:sz w:val="24"/>
          <w:szCs w:val="24"/>
        </w:rPr>
        <w:t>三、环境质量状况</w:t>
      </w:r>
      <w:r>
        <w:rPr>
          <w:b w:val="0"/>
          <w:sz w:val="24"/>
          <w:szCs w:val="24"/>
        </w:rPr>
        <w:tab/>
      </w:r>
      <w:r>
        <w:rPr>
          <w:b w:val="0"/>
          <w:sz w:val="24"/>
          <w:szCs w:val="24"/>
        </w:rPr>
        <w:fldChar w:fldCharType="begin"/>
      </w:r>
      <w:r>
        <w:rPr>
          <w:b w:val="0"/>
          <w:sz w:val="24"/>
          <w:szCs w:val="24"/>
        </w:rPr>
        <w:instrText xml:space="preserve"> PAGEREF _Toc514143746 \h </w:instrText>
      </w:r>
      <w:r>
        <w:rPr>
          <w:b w:val="0"/>
          <w:sz w:val="24"/>
          <w:szCs w:val="24"/>
        </w:rPr>
        <w:fldChar w:fldCharType="separate"/>
      </w:r>
      <w:r>
        <w:rPr>
          <w:b w:val="0"/>
          <w:sz w:val="24"/>
          <w:szCs w:val="24"/>
        </w:rPr>
        <w:t>11</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"_Toc514143748" </w:instrText>
      </w:r>
      <w:r>
        <w:fldChar w:fldCharType="separate"/>
      </w:r>
      <w:r>
        <w:rPr>
          <w:rStyle w:val="45"/>
          <w:b w:val="0"/>
          <w:color w:val="auto"/>
          <w:sz w:val="24"/>
          <w:szCs w:val="24"/>
        </w:rPr>
        <w:t>四、评价适用标准</w:t>
      </w:r>
      <w:r>
        <w:rPr>
          <w:b w:val="0"/>
          <w:sz w:val="24"/>
          <w:szCs w:val="24"/>
        </w:rPr>
        <w:tab/>
      </w:r>
      <w:r>
        <w:rPr>
          <w:b w:val="0"/>
          <w:sz w:val="24"/>
          <w:szCs w:val="24"/>
        </w:rPr>
        <w:fldChar w:fldCharType="begin"/>
      </w:r>
      <w:r>
        <w:rPr>
          <w:b w:val="0"/>
          <w:sz w:val="24"/>
          <w:szCs w:val="24"/>
        </w:rPr>
        <w:instrText xml:space="preserve"> PAGEREF _Toc514143748 \h </w:instrText>
      </w:r>
      <w:r>
        <w:rPr>
          <w:b w:val="0"/>
          <w:sz w:val="24"/>
          <w:szCs w:val="24"/>
        </w:rPr>
        <w:fldChar w:fldCharType="separate"/>
      </w:r>
      <w:r>
        <w:rPr>
          <w:b w:val="0"/>
          <w:sz w:val="24"/>
          <w:szCs w:val="24"/>
        </w:rPr>
        <w:t>16</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"_Toc514143749" </w:instrText>
      </w:r>
      <w:r>
        <w:fldChar w:fldCharType="separate"/>
      </w:r>
      <w:r>
        <w:rPr>
          <w:rStyle w:val="45"/>
          <w:b w:val="0"/>
          <w:color w:val="auto"/>
          <w:sz w:val="24"/>
          <w:szCs w:val="24"/>
        </w:rPr>
        <w:t>五、建设项目工程分析</w:t>
      </w:r>
      <w:r>
        <w:rPr>
          <w:b w:val="0"/>
          <w:sz w:val="24"/>
          <w:szCs w:val="24"/>
        </w:rPr>
        <w:tab/>
      </w:r>
      <w:r>
        <w:rPr>
          <w:b w:val="0"/>
          <w:sz w:val="24"/>
          <w:szCs w:val="24"/>
        </w:rPr>
        <w:fldChar w:fldCharType="begin"/>
      </w:r>
      <w:r>
        <w:rPr>
          <w:b w:val="0"/>
          <w:sz w:val="24"/>
          <w:szCs w:val="24"/>
        </w:rPr>
        <w:instrText xml:space="preserve"> PAGEREF _Toc514143749 \h </w:instrText>
      </w:r>
      <w:r>
        <w:rPr>
          <w:b w:val="0"/>
          <w:sz w:val="24"/>
          <w:szCs w:val="24"/>
        </w:rPr>
        <w:fldChar w:fldCharType="separate"/>
      </w:r>
      <w:r>
        <w:rPr>
          <w:b w:val="0"/>
          <w:sz w:val="24"/>
          <w:szCs w:val="24"/>
        </w:rPr>
        <w:t>19</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"_Toc514143750" </w:instrText>
      </w:r>
      <w:r>
        <w:fldChar w:fldCharType="separate"/>
      </w:r>
      <w:r>
        <w:rPr>
          <w:rStyle w:val="45"/>
          <w:b w:val="0"/>
          <w:color w:val="auto"/>
          <w:sz w:val="24"/>
          <w:szCs w:val="24"/>
        </w:rPr>
        <w:t>六、项目主要污染物产生及预计排放情况</w:t>
      </w:r>
      <w:r>
        <w:rPr>
          <w:b w:val="0"/>
          <w:sz w:val="24"/>
          <w:szCs w:val="24"/>
        </w:rPr>
        <w:tab/>
      </w:r>
      <w:r>
        <w:rPr>
          <w:b w:val="0"/>
          <w:sz w:val="24"/>
          <w:szCs w:val="24"/>
        </w:rPr>
        <w:fldChar w:fldCharType="begin"/>
      </w:r>
      <w:r>
        <w:rPr>
          <w:b w:val="0"/>
          <w:sz w:val="24"/>
          <w:szCs w:val="24"/>
        </w:rPr>
        <w:instrText xml:space="preserve"> PAGEREF _Toc514143750 \h </w:instrText>
      </w:r>
      <w:r>
        <w:rPr>
          <w:b w:val="0"/>
          <w:sz w:val="24"/>
          <w:szCs w:val="24"/>
        </w:rPr>
        <w:fldChar w:fldCharType="separate"/>
      </w:r>
      <w:r>
        <w:rPr>
          <w:b w:val="0"/>
          <w:sz w:val="24"/>
          <w:szCs w:val="24"/>
        </w:rPr>
        <w:t>24</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"_Toc514143751" </w:instrText>
      </w:r>
      <w:r>
        <w:fldChar w:fldCharType="separate"/>
      </w:r>
      <w:r>
        <w:rPr>
          <w:rStyle w:val="45"/>
          <w:b w:val="0"/>
          <w:color w:val="auto"/>
          <w:sz w:val="24"/>
          <w:szCs w:val="24"/>
        </w:rPr>
        <w:t>七、建设项目环境影响分析</w:t>
      </w:r>
      <w:r>
        <w:rPr>
          <w:b w:val="0"/>
          <w:sz w:val="24"/>
          <w:szCs w:val="24"/>
        </w:rPr>
        <w:tab/>
      </w:r>
      <w:r>
        <w:rPr>
          <w:b w:val="0"/>
          <w:sz w:val="24"/>
          <w:szCs w:val="24"/>
        </w:rPr>
        <w:fldChar w:fldCharType="begin"/>
      </w:r>
      <w:r>
        <w:rPr>
          <w:b w:val="0"/>
          <w:sz w:val="24"/>
          <w:szCs w:val="24"/>
        </w:rPr>
        <w:instrText xml:space="preserve"> PAGEREF _Toc514143751 \h </w:instrText>
      </w:r>
      <w:r>
        <w:rPr>
          <w:b w:val="0"/>
          <w:sz w:val="24"/>
          <w:szCs w:val="24"/>
        </w:rPr>
        <w:fldChar w:fldCharType="separate"/>
      </w:r>
      <w:r>
        <w:rPr>
          <w:b w:val="0"/>
          <w:sz w:val="24"/>
          <w:szCs w:val="24"/>
        </w:rPr>
        <w:t>25</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"_Toc514143752" </w:instrText>
      </w:r>
      <w:r>
        <w:fldChar w:fldCharType="separate"/>
      </w:r>
      <w:r>
        <w:rPr>
          <w:rStyle w:val="45"/>
          <w:b w:val="0"/>
          <w:color w:val="auto"/>
          <w:sz w:val="24"/>
          <w:szCs w:val="24"/>
        </w:rPr>
        <w:t>八、建设项目拟采取的防治措施及预期治理效果</w:t>
      </w:r>
      <w:r>
        <w:rPr>
          <w:b w:val="0"/>
          <w:sz w:val="24"/>
          <w:szCs w:val="24"/>
        </w:rPr>
        <w:tab/>
      </w:r>
      <w:r>
        <w:rPr>
          <w:b w:val="0"/>
          <w:sz w:val="24"/>
          <w:szCs w:val="24"/>
        </w:rPr>
        <w:fldChar w:fldCharType="begin"/>
      </w:r>
      <w:r>
        <w:rPr>
          <w:b w:val="0"/>
          <w:sz w:val="24"/>
          <w:szCs w:val="24"/>
        </w:rPr>
        <w:instrText xml:space="preserve"> PAGEREF _Toc514143752 \h </w:instrText>
      </w:r>
      <w:r>
        <w:rPr>
          <w:b w:val="0"/>
          <w:sz w:val="24"/>
          <w:szCs w:val="24"/>
        </w:rPr>
        <w:fldChar w:fldCharType="separate"/>
      </w:r>
      <w:r>
        <w:rPr>
          <w:b w:val="0"/>
          <w:sz w:val="24"/>
          <w:szCs w:val="24"/>
        </w:rPr>
        <w:t>46</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"_Toc514143753" </w:instrText>
      </w:r>
      <w:r>
        <w:fldChar w:fldCharType="separate"/>
      </w:r>
      <w:r>
        <w:rPr>
          <w:rStyle w:val="45"/>
          <w:b w:val="0"/>
          <w:color w:val="auto"/>
          <w:sz w:val="24"/>
          <w:szCs w:val="24"/>
        </w:rPr>
        <w:t>九、结论与建议</w:t>
      </w:r>
      <w:r>
        <w:rPr>
          <w:b w:val="0"/>
          <w:sz w:val="24"/>
          <w:szCs w:val="24"/>
        </w:rPr>
        <w:tab/>
      </w:r>
      <w:r>
        <w:rPr>
          <w:b w:val="0"/>
          <w:sz w:val="24"/>
          <w:szCs w:val="24"/>
        </w:rPr>
        <w:fldChar w:fldCharType="begin"/>
      </w:r>
      <w:r>
        <w:rPr>
          <w:b w:val="0"/>
          <w:sz w:val="24"/>
          <w:szCs w:val="24"/>
        </w:rPr>
        <w:instrText xml:space="preserve"> PAGEREF _Toc514143753 \h </w:instrText>
      </w:r>
      <w:r>
        <w:rPr>
          <w:b w:val="0"/>
          <w:sz w:val="24"/>
          <w:szCs w:val="24"/>
        </w:rPr>
        <w:fldChar w:fldCharType="separate"/>
      </w:r>
      <w:r>
        <w:rPr>
          <w:b w:val="0"/>
          <w:sz w:val="24"/>
          <w:szCs w:val="24"/>
        </w:rPr>
        <w:t>48</w:t>
      </w:r>
      <w:r>
        <w:rPr>
          <w:b w:val="0"/>
          <w:sz w:val="24"/>
          <w:szCs w:val="24"/>
        </w:rPr>
        <w:fldChar w:fldCharType="end"/>
      </w:r>
      <w:r>
        <w:rPr>
          <w:b w:val="0"/>
          <w:sz w:val="24"/>
          <w:szCs w:val="24"/>
        </w:rPr>
        <w:fldChar w:fldCharType="end"/>
      </w:r>
    </w:p>
    <w:p>
      <w:pPr>
        <w:rPr>
          <w:sz w:val="24"/>
        </w:rPr>
      </w:pPr>
      <w:r>
        <w:rPr>
          <w:bCs/>
          <w:sz w:val="24"/>
          <w:lang w:val="zh-CN"/>
        </w:rPr>
        <w:fldChar w:fldCharType="end"/>
      </w:r>
      <w:r>
        <w:rPr>
          <w:b/>
          <w:sz w:val="24"/>
        </w:rPr>
        <w:t>附件</w:t>
      </w:r>
    </w:p>
    <w:p>
      <w:pPr>
        <w:ind w:firstLine="480" w:firstLineChars="200"/>
        <w:rPr>
          <w:sz w:val="24"/>
        </w:rPr>
      </w:pPr>
      <w:r>
        <w:rPr>
          <w:sz w:val="24"/>
        </w:rPr>
        <w:t>附件1委托书</w:t>
      </w:r>
    </w:p>
    <w:p>
      <w:pPr>
        <w:ind w:firstLine="480" w:firstLineChars="200"/>
        <w:rPr>
          <w:sz w:val="24"/>
        </w:rPr>
      </w:pPr>
      <w:r>
        <w:rPr>
          <w:sz w:val="24"/>
        </w:rPr>
        <w:t>附件2营业执照</w:t>
      </w:r>
    </w:p>
    <w:p>
      <w:pPr>
        <w:pStyle w:val="12"/>
        <w:ind w:firstLine="480" w:firstLineChars="200"/>
      </w:pPr>
      <w:r>
        <w:rPr>
          <w:sz w:val="24"/>
        </w:rPr>
        <w:t>附件3</w:t>
      </w:r>
      <w:r>
        <w:t>监测质保单</w:t>
      </w:r>
    </w:p>
    <w:p>
      <w:pPr>
        <w:rPr>
          <w:b/>
          <w:sz w:val="24"/>
        </w:rPr>
      </w:pPr>
      <w:r>
        <w:rPr>
          <w:b/>
          <w:sz w:val="24"/>
        </w:rPr>
        <w:t>附图</w:t>
      </w:r>
    </w:p>
    <w:p>
      <w:pPr>
        <w:ind w:firstLine="480" w:firstLineChars="200"/>
        <w:rPr>
          <w:smallCaps/>
          <w:sz w:val="24"/>
        </w:rPr>
      </w:pPr>
      <w:r>
        <w:rPr>
          <w:smallCaps/>
          <w:sz w:val="24"/>
        </w:rPr>
        <w:t>附图1项目地理位置图</w:t>
      </w:r>
    </w:p>
    <w:p>
      <w:pPr>
        <w:pStyle w:val="12"/>
        <w:ind w:firstLine="480" w:firstLineChars="200"/>
      </w:pPr>
      <w:r>
        <w:rPr>
          <w:smallCaps/>
          <w:sz w:val="24"/>
        </w:rPr>
        <w:t>附图</w:t>
      </w:r>
      <w:r>
        <w:rPr>
          <w:rFonts w:hint="eastAsia"/>
          <w:smallCaps/>
          <w:sz w:val="24"/>
          <w:lang w:val="en-US" w:eastAsia="zh-CN"/>
        </w:rPr>
        <w:t>2</w:t>
      </w:r>
      <w:r>
        <w:rPr>
          <w:smallCaps/>
          <w:sz w:val="24"/>
        </w:rPr>
        <w:t>车间平面布布置图</w:t>
      </w:r>
    </w:p>
    <w:p>
      <w:pPr>
        <w:ind w:firstLine="480" w:firstLineChars="200"/>
        <w:rPr>
          <w:smallCaps/>
          <w:sz w:val="24"/>
        </w:rPr>
      </w:pPr>
      <w:r>
        <w:rPr>
          <w:smallCaps/>
          <w:sz w:val="24"/>
        </w:rPr>
        <w:t>附图</w:t>
      </w:r>
      <w:r>
        <w:rPr>
          <w:rFonts w:hint="eastAsia"/>
          <w:smallCaps/>
          <w:sz w:val="24"/>
          <w:lang w:val="en-US" w:eastAsia="zh-CN"/>
        </w:rPr>
        <w:t>3</w:t>
      </w:r>
      <w:r>
        <w:rPr>
          <w:smallCaps/>
          <w:sz w:val="24"/>
        </w:rPr>
        <w:t>项目周边环境敏感点示意图</w:t>
      </w:r>
    </w:p>
    <w:p>
      <w:pPr>
        <w:ind w:firstLine="480" w:firstLineChars="200"/>
        <w:rPr>
          <w:smallCaps/>
          <w:sz w:val="24"/>
        </w:rPr>
      </w:pPr>
      <w:r>
        <w:rPr>
          <w:smallCaps/>
          <w:sz w:val="24"/>
        </w:rPr>
        <w:t>附图</w:t>
      </w:r>
      <w:r>
        <w:rPr>
          <w:rFonts w:hint="eastAsia"/>
          <w:smallCaps/>
          <w:sz w:val="24"/>
          <w:lang w:val="en-US" w:eastAsia="zh-CN"/>
        </w:rPr>
        <w:t>4</w:t>
      </w:r>
      <w:r>
        <w:rPr>
          <w:smallCaps/>
          <w:sz w:val="24"/>
        </w:rPr>
        <w:t>项目区域环境监测布点图</w:t>
      </w:r>
    </w:p>
    <w:p>
      <w:pPr>
        <w:rPr>
          <w:b/>
          <w:sz w:val="24"/>
        </w:rPr>
      </w:pPr>
      <w:r>
        <w:rPr>
          <w:b/>
          <w:sz w:val="24"/>
        </w:rPr>
        <w:t>附表</w:t>
      </w:r>
    </w:p>
    <w:p>
      <w:pPr>
        <w:ind w:firstLine="480" w:firstLineChars="200"/>
        <w:rPr>
          <w:smallCaps/>
          <w:sz w:val="24"/>
        </w:rPr>
      </w:pPr>
      <w:r>
        <w:rPr>
          <w:smallCaps/>
          <w:sz w:val="24"/>
        </w:rPr>
        <w:t>建设项目基础信息</w:t>
      </w:r>
      <w:r>
        <w:rPr>
          <w:rFonts w:hint="eastAsia"/>
          <w:smallCaps/>
          <w:sz w:val="24"/>
        </w:rPr>
        <w:t>表</w:t>
      </w:r>
    </w:p>
    <w:p>
      <w:pPr>
        <w:pStyle w:val="12"/>
        <w:ind w:firstLine="480" w:firstLineChars="200"/>
      </w:pPr>
    </w:p>
    <w:p>
      <w:pPr>
        <w:pStyle w:val="12"/>
      </w:pPr>
    </w:p>
    <w:p>
      <w:pPr>
        <w:pStyle w:val="12"/>
      </w:pPr>
      <w:r>
        <w:br w:type="page"/>
      </w:r>
    </w:p>
    <w:p>
      <w:pPr>
        <w:pStyle w:val="100"/>
        <w:spacing w:before="0" w:after="0"/>
        <w:jc w:val="both"/>
        <w:rPr>
          <w:color w:val="auto"/>
          <w:sz w:val="30"/>
          <w:szCs w:val="30"/>
        </w:rPr>
      </w:pPr>
      <w:bookmarkStart w:id="3" w:name="_Toc514143743"/>
      <w:bookmarkStart w:id="4" w:name="_Toc457203488"/>
      <w:r>
        <w:rPr>
          <w:color w:val="auto"/>
          <w:sz w:val="30"/>
          <w:szCs w:val="30"/>
        </w:rPr>
        <w:t>一、建设项目基本情况</w:t>
      </w:r>
      <w:bookmarkEnd w:id="0"/>
      <w:bookmarkEnd w:id="1"/>
      <w:bookmarkEnd w:id="2"/>
      <w:bookmarkEnd w:id="3"/>
      <w:bookmarkEnd w:id="4"/>
    </w:p>
    <w:tbl>
      <w:tblPr>
        <w:tblStyle w:val="38"/>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184"/>
        <w:gridCol w:w="1260"/>
        <w:gridCol w:w="833"/>
        <w:gridCol w:w="58"/>
        <w:gridCol w:w="1618"/>
        <w:gridCol w:w="2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项目名称</w:t>
            </w:r>
          </w:p>
        </w:tc>
        <w:tc>
          <w:tcPr>
            <w:tcW w:w="7517" w:type="dxa"/>
            <w:gridSpan w:val="6"/>
            <w:vAlign w:val="center"/>
          </w:tcPr>
          <w:p>
            <w:pPr>
              <w:adjustRightInd w:val="0"/>
              <w:snapToGrid w:val="0"/>
              <w:jc w:val="center"/>
              <w:rPr>
                <w:sz w:val="24"/>
              </w:rPr>
            </w:pPr>
            <w:r>
              <w:rPr>
                <w:rFonts w:hint="eastAsia"/>
                <w:sz w:val="24"/>
              </w:rPr>
              <w:t>年产</w:t>
            </w:r>
            <w:r>
              <w:rPr>
                <w:rFonts w:hint="eastAsia"/>
                <w:sz w:val="24"/>
                <w:lang w:eastAsia="zh-CN"/>
              </w:rPr>
              <w:t>180万</w:t>
            </w:r>
            <w:r>
              <w:rPr>
                <w:rFonts w:hint="eastAsia"/>
                <w:sz w:val="24"/>
              </w:rPr>
              <w:t>把</w:t>
            </w:r>
            <w:r>
              <w:rPr>
                <w:sz w:val="24"/>
              </w:rPr>
              <w:t>扳手生产线建设项目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建设单位</w:t>
            </w:r>
          </w:p>
        </w:tc>
        <w:tc>
          <w:tcPr>
            <w:tcW w:w="7517" w:type="dxa"/>
            <w:gridSpan w:val="6"/>
            <w:vAlign w:val="center"/>
          </w:tcPr>
          <w:p>
            <w:pPr>
              <w:adjustRightInd w:val="0"/>
              <w:snapToGrid w:val="0"/>
              <w:jc w:val="center"/>
              <w:rPr>
                <w:rFonts w:hint="eastAsia" w:eastAsia="宋体"/>
                <w:sz w:val="24"/>
                <w:lang w:eastAsia="zh-CN"/>
              </w:rPr>
            </w:pPr>
            <w:r>
              <w:rPr>
                <w:rFonts w:hint="eastAsia"/>
                <w:sz w:val="24"/>
                <w:lang w:eastAsia="zh-CN"/>
              </w:rPr>
              <w:t>邵东县兴顺五金工具厂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法人代表</w:t>
            </w:r>
          </w:p>
        </w:tc>
        <w:tc>
          <w:tcPr>
            <w:tcW w:w="2444" w:type="dxa"/>
            <w:gridSpan w:val="2"/>
            <w:vAlign w:val="center"/>
          </w:tcPr>
          <w:p>
            <w:pPr>
              <w:adjustRightInd w:val="0"/>
              <w:snapToGrid w:val="0"/>
              <w:jc w:val="center"/>
              <w:rPr>
                <w:sz w:val="24"/>
              </w:rPr>
            </w:pPr>
            <w:r>
              <w:rPr>
                <w:rFonts w:hint="eastAsia"/>
                <w:sz w:val="24"/>
              </w:rPr>
              <w:t>徐南求</w:t>
            </w:r>
          </w:p>
        </w:tc>
        <w:tc>
          <w:tcPr>
            <w:tcW w:w="2509" w:type="dxa"/>
            <w:gridSpan w:val="3"/>
            <w:vAlign w:val="center"/>
          </w:tcPr>
          <w:p>
            <w:pPr>
              <w:adjustRightInd w:val="0"/>
              <w:snapToGrid w:val="0"/>
              <w:jc w:val="center"/>
              <w:rPr>
                <w:sz w:val="24"/>
              </w:rPr>
            </w:pPr>
            <w:r>
              <w:rPr>
                <w:sz w:val="24"/>
              </w:rPr>
              <w:t>联系人</w:t>
            </w:r>
          </w:p>
        </w:tc>
        <w:tc>
          <w:tcPr>
            <w:tcW w:w="2564" w:type="dxa"/>
            <w:vAlign w:val="center"/>
          </w:tcPr>
          <w:p>
            <w:pPr>
              <w:adjustRightInd w:val="0"/>
              <w:snapToGrid w:val="0"/>
              <w:jc w:val="center"/>
              <w:rPr>
                <w:rFonts w:hint="default" w:eastAsia="宋体"/>
                <w:sz w:val="24"/>
                <w:lang w:val="en-US" w:eastAsia="zh-CN"/>
              </w:rPr>
            </w:pPr>
            <w:r>
              <w:rPr>
                <w:rFonts w:hint="eastAsia"/>
                <w:sz w:val="24"/>
                <w:lang w:val="en-US" w:eastAsia="zh-CN"/>
              </w:rPr>
              <w:t>黄际才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通讯地址</w:t>
            </w:r>
          </w:p>
        </w:tc>
        <w:tc>
          <w:tcPr>
            <w:tcW w:w="7517" w:type="dxa"/>
            <w:gridSpan w:val="6"/>
            <w:vAlign w:val="center"/>
          </w:tcPr>
          <w:p>
            <w:pPr>
              <w:adjustRightInd w:val="0"/>
              <w:snapToGrid w:val="0"/>
              <w:jc w:val="center"/>
              <w:rPr>
                <w:rFonts w:hint="eastAsia" w:eastAsia="宋体"/>
                <w:sz w:val="24"/>
                <w:lang w:eastAsia="zh-CN"/>
              </w:rPr>
            </w:pPr>
            <w:r>
              <w:rPr>
                <w:sz w:val="24"/>
              </w:rPr>
              <w:t>湖南省邵阳市</w:t>
            </w:r>
            <w:r>
              <w:rPr>
                <w:rFonts w:hint="eastAsia"/>
                <w:sz w:val="24"/>
                <w:lang w:eastAsia="zh-CN"/>
              </w:rPr>
              <w:t>邵东市仙槎桥镇平阳村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建设地点</w:t>
            </w:r>
          </w:p>
        </w:tc>
        <w:tc>
          <w:tcPr>
            <w:tcW w:w="7517" w:type="dxa"/>
            <w:gridSpan w:val="6"/>
            <w:vAlign w:val="center"/>
          </w:tcPr>
          <w:p>
            <w:pPr>
              <w:adjustRightInd w:val="0"/>
              <w:snapToGrid w:val="0"/>
              <w:jc w:val="center"/>
              <w:rPr>
                <w:rFonts w:hint="eastAsia"/>
                <w:sz w:val="24"/>
                <w:lang w:val="en-US" w:eastAsia="zh-CN"/>
              </w:rPr>
            </w:pPr>
            <w:r>
              <w:rPr>
                <w:sz w:val="24"/>
              </w:rPr>
              <w:t>湖南省邵阳市</w:t>
            </w:r>
            <w:r>
              <w:rPr>
                <w:rFonts w:hint="eastAsia"/>
                <w:sz w:val="24"/>
                <w:lang w:eastAsia="zh-CN"/>
              </w:rPr>
              <w:t>邵东市仙槎桥镇平阳村</w:t>
            </w:r>
            <w:r>
              <w:rPr>
                <w:rFonts w:hint="eastAsia"/>
                <w:sz w:val="24"/>
                <w:lang w:val="en-US" w:eastAsia="zh-CN"/>
              </w:rPr>
              <w:t xml:space="preserve"> </w:t>
            </w:r>
          </w:p>
          <w:p>
            <w:pPr>
              <w:adjustRightInd w:val="0"/>
              <w:snapToGrid w:val="0"/>
              <w:jc w:val="center"/>
              <w:rPr>
                <w:rFonts w:hint="eastAsia" w:eastAsia="宋体"/>
                <w:sz w:val="24"/>
                <w:lang w:val="en-US" w:eastAsia="zh-CN"/>
              </w:rPr>
            </w:pPr>
            <w:r>
              <w:rPr>
                <w:rFonts w:hint="eastAsia"/>
                <w:sz w:val="24"/>
                <w:lang w:val="en-US" w:eastAsia="zh-CN"/>
              </w:rPr>
              <w:t xml:space="preserve">  东经111.691262°、北纬27.146548°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联系电话</w:t>
            </w:r>
          </w:p>
        </w:tc>
        <w:tc>
          <w:tcPr>
            <w:tcW w:w="3335" w:type="dxa"/>
            <w:gridSpan w:val="4"/>
            <w:vAlign w:val="center"/>
          </w:tcPr>
          <w:p>
            <w:pPr>
              <w:adjustRightInd w:val="0"/>
              <w:snapToGrid w:val="0"/>
              <w:jc w:val="center"/>
              <w:rPr>
                <w:rFonts w:hint="eastAsia" w:eastAsia="宋体"/>
                <w:sz w:val="24"/>
                <w:lang w:eastAsia="zh-CN"/>
              </w:rPr>
            </w:pPr>
            <w:r>
              <w:rPr>
                <w:rFonts w:hint="eastAsia"/>
                <w:sz w:val="24"/>
                <w:lang w:eastAsia="zh-CN"/>
              </w:rPr>
              <w:t>13707393737</w:t>
            </w:r>
          </w:p>
        </w:tc>
        <w:tc>
          <w:tcPr>
            <w:tcW w:w="1618" w:type="dxa"/>
            <w:vAlign w:val="center"/>
          </w:tcPr>
          <w:p>
            <w:pPr>
              <w:adjustRightInd w:val="0"/>
              <w:snapToGrid w:val="0"/>
              <w:jc w:val="center"/>
              <w:rPr>
                <w:sz w:val="24"/>
              </w:rPr>
            </w:pPr>
            <w:r>
              <w:rPr>
                <w:sz w:val="24"/>
              </w:rPr>
              <w:t>邮政编码</w:t>
            </w:r>
          </w:p>
        </w:tc>
        <w:tc>
          <w:tcPr>
            <w:tcW w:w="2564" w:type="dxa"/>
            <w:vAlign w:val="center"/>
          </w:tcPr>
          <w:p>
            <w:pPr>
              <w:adjustRightInd w:val="0"/>
              <w:snapToGrid w:val="0"/>
              <w:jc w:val="center"/>
              <w:rPr>
                <w:sz w:val="24"/>
              </w:rPr>
            </w:pPr>
            <w:r>
              <w:rPr>
                <w:sz w:val="24"/>
              </w:rPr>
              <w:t>422800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立项审批部门</w:t>
            </w:r>
          </w:p>
        </w:tc>
        <w:tc>
          <w:tcPr>
            <w:tcW w:w="3335" w:type="dxa"/>
            <w:gridSpan w:val="4"/>
            <w:vAlign w:val="center"/>
          </w:tcPr>
          <w:p>
            <w:pPr>
              <w:adjustRightInd w:val="0"/>
              <w:snapToGrid w:val="0"/>
              <w:jc w:val="center"/>
              <w:rPr>
                <w:sz w:val="24"/>
              </w:rPr>
            </w:pPr>
          </w:p>
        </w:tc>
        <w:tc>
          <w:tcPr>
            <w:tcW w:w="1618" w:type="dxa"/>
            <w:vAlign w:val="center"/>
          </w:tcPr>
          <w:p>
            <w:pPr>
              <w:adjustRightInd w:val="0"/>
              <w:snapToGrid w:val="0"/>
              <w:jc w:val="center"/>
              <w:rPr>
                <w:sz w:val="24"/>
              </w:rPr>
            </w:pPr>
            <w:r>
              <w:rPr>
                <w:sz w:val="24"/>
              </w:rPr>
              <w:t>批准文号</w:t>
            </w:r>
          </w:p>
        </w:tc>
        <w:tc>
          <w:tcPr>
            <w:tcW w:w="2564" w:type="dxa"/>
            <w:vAlign w:val="center"/>
          </w:tcPr>
          <w:p>
            <w:pPr>
              <w:adjustRightInd w:val="0"/>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建设性质</w:t>
            </w:r>
          </w:p>
        </w:tc>
        <w:tc>
          <w:tcPr>
            <w:tcW w:w="3335" w:type="dxa"/>
            <w:gridSpan w:val="4"/>
            <w:vAlign w:val="center"/>
          </w:tcPr>
          <w:p>
            <w:pPr>
              <w:adjustRightInd w:val="0"/>
              <w:snapToGrid w:val="0"/>
              <w:jc w:val="center"/>
              <w:rPr>
                <w:sz w:val="24"/>
              </w:rPr>
            </w:pPr>
            <w:r>
              <w:rPr>
                <w:sz w:val="24"/>
              </w:rPr>
              <w:t>新建</w:t>
            </w:r>
          </w:p>
        </w:tc>
        <w:tc>
          <w:tcPr>
            <w:tcW w:w="1618" w:type="dxa"/>
            <w:vAlign w:val="center"/>
          </w:tcPr>
          <w:p>
            <w:pPr>
              <w:adjustRightInd w:val="0"/>
              <w:snapToGrid w:val="0"/>
              <w:jc w:val="center"/>
              <w:rPr>
                <w:sz w:val="24"/>
              </w:rPr>
            </w:pPr>
            <w:r>
              <w:rPr>
                <w:sz w:val="24"/>
              </w:rPr>
              <w:t>行业列别</w:t>
            </w:r>
          </w:p>
        </w:tc>
        <w:tc>
          <w:tcPr>
            <w:tcW w:w="2564" w:type="dxa"/>
            <w:vAlign w:val="center"/>
          </w:tcPr>
          <w:p>
            <w:pPr>
              <w:adjustRightInd w:val="0"/>
              <w:snapToGrid w:val="0"/>
              <w:jc w:val="center"/>
              <w:rPr>
                <w:sz w:val="24"/>
              </w:rPr>
            </w:pPr>
            <w:r>
              <w:rPr>
                <w:sz w:val="24"/>
              </w:rPr>
              <w:t>C3322手工具制造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占地面积</w:t>
            </w:r>
          </w:p>
          <w:p>
            <w:pPr>
              <w:adjustRightInd w:val="0"/>
              <w:snapToGrid w:val="0"/>
              <w:jc w:val="center"/>
              <w:rPr>
                <w:sz w:val="24"/>
              </w:rPr>
            </w:pPr>
            <w:r>
              <w:rPr>
                <w:sz w:val="24"/>
              </w:rPr>
              <w:t>（平方米）</w:t>
            </w:r>
          </w:p>
        </w:tc>
        <w:tc>
          <w:tcPr>
            <w:tcW w:w="2444" w:type="dxa"/>
            <w:gridSpan w:val="2"/>
            <w:vAlign w:val="center"/>
          </w:tcPr>
          <w:p>
            <w:pPr>
              <w:adjustRightInd w:val="0"/>
              <w:snapToGrid w:val="0"/>
              <w:jc w:val="center"/>
              <w:rPr>
                <w:rFonts w:hint="default" w:eastAsia="宋体"/>
                <w:sz w:val="24"/>
                <w:lang w:val="en-US" w:eastAsia="zh-CN"/>
              </w:rPr>
            </w:pPr>
            <w:r>
              <w:rPr>
                <w:rFonts w:hint="eastAsia"/>
                <w:sz w:val="24"/>
                <w:lang w:val="en-US" w:eastAsia="zh-CN"/>
              </w:rPr>
              <w:t>1600</w:t>
            </w:r>
          </w:p>
        </w:tc>
        <w:tc>
          <w:tcPr>
            <w:tcW w:w="2509" w:type="dxa"/>
            <w:gridSpan w:val="3"/>
            <w:vAlign w:val="center"/>
          </w:tcPr>
          <w:p>
            <w:pPr>
              <w:adjustRightInd w:val="0"/>
              <w:snapToGrid w:val="0"/>
              <w:jc w:val="center"/>
              <w:rPr>
                <w:sz w:val="24"/>
              </w:rPr>
            </w:pPr>
            <w:r>
              <w:rPr>
                <w:sz w:val="24"/>
              </w:rPr>
              <w:t>绿化面积(平方米)</w:t>
            </w:r>
          </w:p>
        </w:tc>
        <w:tc>
          <w:tcPr>
            <w:tcW w:w="2564" w:type="dxa"/>
            <w:vAlign w:val="center"/>
          </w:tcPr>
          <w:p>
            <w:pPr>
              <w:adjustRightInd w:val="0"/>
              <w:snapToGrid w:val="0"/>
              <w:jc w:val="center"/>
              <w:rPr>
                <w:sz w:val="24"/>
              </w:rPr>
            </w:pPr>
            <w:r>
              <w:rPr>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总投资</w:t>
            </w:r>
          </w:p>
          <w:p>
            <w:pPr>
              <w:adjustRightInd w:val="0"/>
              <w:snapToGrid w:val="0"/>
              <w:jc w:val="center"/>
              <w:rPr>
                <w:sz w:val="24"/>
              </w:rPr>
            </w:pPr>
            <w:r>
              <w:rPr>
                <w:sz w:val="24"/>
              </w:rPr>
              <w:t>(万元)</w:t>
            </w:r>
          </w:p>
        </w:tc>
        <w:tc>
          <w:tcPr>
            <w:tcW w:w="1184" w:type="dxa"/>
            <w:vAlign w:val="center"/>
          </w:tcPr>
          <w:p>
            <w:pPr>
              <w:adjustRightInd w:val="0"/>
              <w:snapToGrid w:val="0"/>
              <w:jc w:val="center"/>
              <w:rPr>
                <w:rFonts w:hint="default" w:eastAsia="宋体"/>
                <w:sz w:val="24"/>
                <w:lang w:val="en-US" w:eastAsia="zh-CN"/>
              </w:rPr>
            </w:pPr>
            <w:r>
              <w:rPr>
                <w:rFonts w:hint="eastAsia"/>
                <w:sz w:val="24"/>
                <w:lang w:val="en-US" w:eastAsia="zh-CN"/>
              </w:rPr>
              <w:t>180</w:t>
            </w:r>
          </w:p>
        </w:tc>
        <w:tc>
          <w:tcPr>
            <w:tcW w:w="1260" w:type="dxa"/>
            <w:vAlign w:val="center"/>
          </w:tcPr>
          <w:p>
            <w:pPr>
              <w:adjustRightInd w:val="0"/>
              <w:snapToGrid w:val="0"/>
              <w:jc w:val="center"/>
              <w:rPr>
                <w:sz w:val="24"/>
              </w:rPr>
            </w:pPr>
            <w:r>
              <w:rPr>
                <w:sz w:val="24"/>
              </w:rPr>
              <w:t>环保投资</w:t>
            </w:r>
          </w:p>
          <w:p>
            <w:pPr>
              <w:adjustRightInd w:val="0"/>
              <w:snapToGrid w:val="0"/>
              <w:jc w:val="center"/>
              <w:rPr>
                <w:sz w:val="24"/>
              </w:rPr>
            </w:pPr>
            <w:r>
              <w:rPr>
                <w:sz w:val="24"/>
              </w:rPr>
              <w:t>（万元）</w:t>
            </w:r>
          </w:p>
        </w:tc>
        <w:tc>
          <w:tcPr>
            <w:tcW w:w="833" w:type="dxa"/>
            <w:vAlign w:val="center"/>
          </w:tcPr>
          <w:p>
            <w:pPr>
              <w:adjustRightInd w:val="0"/>
              <w:snapToGrid w:val="0"/>
              <w:jc w:val="center"/>
              <w:rPr>
                <w:sz w:val="24"/>
              </w:rPr>
            </w:pPr>
            <w:r>
              <w:rPr>
                <w:rFonts w:hint="eastAsia"/>
                <w:sz w:val="24"/>
              </w:rPr>
              <w:t>1</w:t>
            </w:r>
            <w:r>
              <w:rPr>
                <w:rFonts w:hint="eastAsia"/>
                <w:sz w:val="24"/>
                <w:lang w:val="en-US" w:eastAsia="zh-CN"/>
              </w:rPr>
              <w:t>5</w:t>
            </w:r>
          </w:p>
        </w:tc>
        <w:tc>
          <w:tcPr>
            <w:tcW w:w="1676" w:type="dxa"/>
            <w:gridSpan w:val="2"/>
            <w:vAlign w:val="center"/>
          </w:tcPr>
          <w:p>
            <w:pPr>
              <w:adjustRightInd w:val="0"/>
              <w:snapToGrid w:val="0"/>
              <w:jc w:val="center"/>
              <w:rPr>
                <w:sz w:val="24"/>
              </w:rPr>
            </w:pPr>
            <w:r>
              <w:rPr>
                <w:sz w:val="24"/>
              </w:rPr>
              <w:t>环保投资占总投资比例</w:t>
            </w:r>
          </w:p>
        </w:tc>
        <w:tc>
          <w:tcPr>
            <w:tcW w:w="2564" w:type="dxa"/>
            <w:vAlign w:val="center"/>
          </w:tcPr>
          <w:p>
            <w:pPr>
              <w:adjustRightInd w:val="0"/>
              <w:snapToGrid w:val="0"/>
              <w:jc w:val="center"/>
              <w:rPr>
                <w:rFonts w:hint="eastAsia" w:eastAsia="宋体"/>
                <w:sz w:val="24"/>
                <w:lang w:eastAsia="zh-CN"/>
              </w:rPr>
            </w:pPr>
            <w:r>
              <w:rPr>
                <w:rFonts w:hint="eastAsia"/>
                <w:sz w:val="24"/>
                <w:lang w:val="en-US" w:eastAsia="zh-CN"/>
              </w:rPr>
              <w:t>8.3</w:t>
            </w:r>
            <w:r>
              <w:rPr>
                <w:rFonts w:hint="eastAsia"/>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47" w:type="dxa"/>
            <w:vAlign w:val="center"/>
          </w:tcPr>
          <w:p>
            <w:pPr>
              <w:adjustRightInd w:val="0"/>
              <w:snapToGrid w:val="0"/>
              <w:jc w:val="center"/>
              <w:rPr>
                <w:sz w:val="24"/>
              </w:rPr>
            </w:pPr>
            <w:r>
              <w:rPr>
                <w:sz w:val="24"/>
              </w:rPr>
              <w:t>评价经费</w:t>
            </w:r>
          </w:p>
          <w:p>
            <w:pPr>
              <w:adjustRightInd w:val="0"/>
              <w:snapToGrid w:val="0"/>
              <w:jc w:val="center"/>
              <w:rPr>
                <w:sz w:val="24"/>
              </w:rPr>
            </w:pPr>
            <w:r>
              <w:rPr>
                <w:sz w:val="24"/>
              </w:rPr>
              <w:t>（万元）</w:t>
            </w:r>
          </w:p>
        </w:tc>
        <w:tc>
          <w:tcPr>
            <w:tcW w:w="3277" w:type="dxa"/>
            <w:gridSpan w:val="3"/>
            <w:vAlign w:val="center"/>
          </w:tcPr>
          <w:p>
            <w:pPr>
              <w:adjustRightInd w:val="0"/>
              <w:snapToGrid w:val="0"/>
              <w:jc w:val="center"/>
              <w:rPr>
                <w:sz w:val="24"/>
              </w:rPr>
            </w:pPr>
          </w:p>
        </w:tc>
        <w:tc>
          <w:tcPr>
            <w:tcW w:w="1676" w:type="dxa"/>
            <w:gridSpan w:val="2"/>
            <w:vAlign w:val="center"/>
          </w:tcPr>
          <w:p>
            <w:pPr>
              <w:adjustRightInd w:val="0"/>
              <w:snapToGrid w:val="0"/>
              <w:jc w:val="center"/>
              <w:rPr>
                <w:sz w:val="24"/>
              </w:rPr>
            </w:pPr>
            <w:r>
              <w:rPr>
                <w:sz w:val="24"/>
              </w:rPr>
              <w:t>预期</w:t>
            </w:r>
          </w:p>
          <w:p>
            <w:pPr>
              <w:adjustRightInd w:val="0"/>
              <w:snapToGrid w:val="0"/>
              <w:jc w:val="center"/>
              <w:rPr>
                <w:sz w:val="24"/>
              </w:rPr>
            </w:pPr>
            <w:r>
              <w:rPr>
                <w:sz w:val="24"/>
              </w:rPr>
              <w:t>投产日期</w:t>
            </w:r>
          </w:p>
        </w:tc>
        <w:tc>
          <w:tcPr>
            <w:tcW w:w="2564" w:type="dxa"/>
            <w:vAlign w:val="center"/>
          </w:tcPr>
          <w:p>
            <w:pPr>
              <w:adjustRightInd w:val="0"/>
              <w:snapToGrid w:val="0"/>
              <w:jc w:val="center"/>
              <w:rPr>
                <w:rFonts w:hint="default" w:eastAsia="宋体"/>
                <w:sz w:val="24"/>
                <w:lang w:val="en-US" w:eastAsia="zh-CN"/>
              </w:rPr>
            </w:pPr>
            <w:r>
              <w:rPr>
                <w:rFonts w:hint="eastAsia"/>
                <w:sz w:val="24"/>
                <w:lang w:val="en-US" w:eastAsia="zh-CN"/>
              </w:rPr>
              <w:t>已建成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064" w:type="dxa"/>
            <w:gridSpan w:val="7"/>
            <w:vAlign w:val="center"/>
          </w:tcPr>
          <w:p>
            <w:pPr>
              <w:autoSpaceDE w:val="0"/>
              <w:autoSpaceDN w:val="0"/>
              <w:adjustRightInd w:val="0"/>
              <w:spacing w:line="360" w:lineRule="auto"/>
              <w:ind w:firstLine="482" w:firstLineChars="200"/>
              <w:rPr>
                <w:b/>
                <w:sz w:val="24"/>
              </w:rPr>
            </w:pPr>
            <w:r>
              <w:rPr>
                <w:b/>
                <w:sz w:val="24"/>
              </w:rPr>
              <w:t>一、项目由来</w:t>
            </w:r>
          </w:p>
          <w:p>
            <w:pPr>
              <w:pStyle w:val="34"/>
              <w:adjustRightInd w:val="0"/>
              <w:snapToGrid w:val="0"/>
              <w:spacing w:before="0" w:beforeAutospacing="0" w:after="0" w:afterAutospacing="0" w:line="360" w:lineRule="auto"/>
              <w:ind w:firstLine="480" w:firstLineChars="200"/>
              <w:jc w:val="both"/>
              <w:rPr>
                <w:rFonts w:ascii="Times New Roman" w:hAnsi="Times New Roman"/>
                <w:kern w:val="2"/>
                <w:sz w:val="24"/>
                <w:szCs w:val="24"/>
              </w:rPr>
            </w:pPr>
            <w:r>
              <w:rPr>
                <w:rFonts w:ascii="Times New Roman" w:hAnsi="Times New Roman"/>
                <w:kern w:val="2"/>
                <w:sz w:val="24"/>
                <w:szCs w:val="24"/>
              </w:rPr>
              <w:t>随着现代科技成果在行业中的不断应用，五金行业的竞争也越来越激烈。无论想在五金行业的哪一个领域站稳脚跟，都要充分了解市场的发展动态。五金工具包括各种手动、电动、气动、切割工具、汽保工具、农用工具、起重工具、测量工具、工具机械、切削工具、工夹具、刀具、模具、刃具、砂轮、钻头、抛光机、工具配件、量具刃具、磨具磨料等。我国五金工具行业的品牌竞争还比较弱，除了史丹利和世达处于领导地位外，其他品牌的排名还不稳定，整个行业的品牌竞争比较混乱，这将为五金工具企业提供发展品牌的大好机会。</w:t>
            </w:r>
          </w:p>
          <w:p>
            <w:pPr>
              <w:pStyle w:val="34"/>
              <w:adjustRightInd w:val="0"/>
              <w:snapToGrid w:val="0"/>
              <w:spacing w:before="0" w:beforeAutospacing="0" w:after="0" w:afterAutospacing="0" w:line="360" w:lineRule="auto"/>
              <w:ind w:firstLine="480" w:firstLineChars="200"/>
              <w:jc w:val="both"/>
              <w:rPr>
                <w:rFonts w:ascii="Times New Roman" w:hAnsi="Times New Roman"/>
                <w:kern w:val="2"/>
                <w:sz w:val="24"/>
                <w:szCs w:val="24"/>
              </w:rPr>
            </w:pPr>
            <w:r>
              <w:rPr>
                <w:rFonts w:hint="eastAsia" w:ascii="Times New Roman" w:hAnsi="Times New Roman"/>
                <w:kern w:val="2"/>
                <w:sz w:val="24"/>
                <w:szCs w:val="24"/>
                <w:lang w:eastAsia="zh-CN"/>
              </w:rPr>
              <w:t>邵东市</w:t>
            </w:r>
            <w:r>
              <w:rPr>
                <w:rFonts w:ascii="Times New Roman" w:hAnsi="Times New Roman"/>
                <w:kern w:val="2"/>
                <w:sz w:val="24"/>
                <w:szCs w:val="24"/>
              </w:rPr>
              <w:t>仙槎桥镇是我国著名的“五金之乡”，几十家小五金生产企业遍布整个乡镇，全镇出现了家喻户晓的“锤子村”、“扳手村”，其中不乏有一定规模的专业生产厂家。根据调查，仙槎桥镇拥有大大小小的各类五金工具生产、销售企业上百家，其中规模以上五金工具生产企业32家。</w:t>
            </w:r>
          </w:p>
          <w:p>
            <w:pPr>
              <w:spacing w:line="360" w:lineRule="auto"/>
              <w:ind w:firstLine="480" w:firstLineChars="200"/>
              <w:rPr>
                <w:sz w:val="24"/>
              </w:rPr>
            </w:pPr>
            <w:r>
              <w:rPr>
                <w:rFonts w:hint="eastAsia"/>
                <w:sz w:val="24"/>
                <w:lang w:eastAsia="zh-CN"/>
              </w:rPr>
              <w:t>邵东县兴顺五金工具厂</w:t>
            </w:r>
            <w:r>
              <w:rPr>
                <w:rFonts w:hint="eastAsia"/>
                <w:sz w:val="24"/>
                <w:lang w:val="en-US" w:eastAsia="zh-CN"/>
              </w:rPr>
              <w:t>成立于2000年,2005年进行了一次扩建，</w:t>
            </w:r>
            <w:r>
              <w:rPr>
                <w:sz w:val="24"/>
              </w:rPr>
              <w:t>项目投资</w:t>
            </w:r>
            <w:r>
              <w:rPr>
                <w:rFonts w:hint="eastAsia"/>
                <w:sz w:val="24"/>
                <w:lang w:eastAsia="zh-CN"/>
              </w:rPr>
              <w:t>180万</w:t>
            </w:r>
            <w:r>
              <w:rPr>
                <w:sz w:val="24"/>
              </w:rPr>
              <w:t>元，占地面积为</w:t>
            </w:r>
            <w:r>
              <w:rPr>
                <w:rFonts w:hint="eastAsia"/>
                <w:sz w:val="24"/>
                <w:lang w:val="en-US" w:eastAsia="zh-CN"/>
              </w:rPr>
              <w:t>1600</w:t>
            </w:r>
            <w:r>
              <w:rPr>
                <w:sz w:val="24"/>
              </w:rPr>
              <w:t>m</w:t>
            </w:r>
            <w:r>
              <w:rPr>
                <w:sz w:val="24"/>
                <w:vertAlign w:val="superscript"/>
              </w:rPr>
              <w:t>2</w:t>
            </w:r>
            <w:r>
              <w:rPr>
                <w:rFonts w:hint="eastAsia"/>
                <w:sz w:val="24"/>
              </w:rPr>
              <w:t>。项目</w:t>
            </w:r>
            <w:r>
              <w:rPr>
                <w:rFonts w:hint="eastAsia"/>
                <w:sz w:val="24"/>
                <w:lang w:val="en-US" w:eastAsia="zh-CN"/>
              </w:rPr>
              <w:t>未办理环评手续</w:t>
            </w:r>
            <w:r>
              <w:rPr>
                <w:sz w:val="24"/>
              </w:rPr>
              <w:t>，</w:t>
            </w:r>
            <w:r>
              <w:rPr>
                <w:rFonts w:hint="eastAsia"/>
                <w:sz w:val="24"/>
                <w:lang w:val="en-US" w:eastAsia="zh-CN"/>
              </w:rPr>
              <w:t>邵阳市生态环境局对该企业进行了处罚，责令按要求完善相关手续。</w:t>
            </w:r>
          </w:p>
          <w:p>
            <w:pPr>
              <w:autoSpaceDE w:val="0"/>
              <w:autoSpaceDN w:val="0"/>
              <w:adjustRightInd w:val="0"/>
              <w:spacing w:line="360" w:lineRule="auto"/>
              <w:ind w:firstLine="480" w:firstLineChars="200"/>
              <w:rPr>
                <w:sz w:val="24"/>
              </w:rPr>
            </w:pPr>
            <w:r>
              <w:rPr>
                <w:sz w:val="24"/>
              </w:rPr>
              <w:t>根据《中华人民共和国环境保护法》、《中华人民共和国环境影响评价法》和国务院第682号令《建设项目环境保护管理条例》的其它有关法律、法规及文件的要求，受</w:t>
            </w:r>
            <w:r>
              <w:rPr>
                <w:rFonts w:hint="eastAsia"/>
                <w:sz w:val="24"/>
                <w:lang w:eastAsia="zh-CN"/>
              </w:rPr>
              <w:t>邵东县兴顺五金工具厂</w:t>
            </w:r>
            <w:r>
              <w:rPr>
                <w:sz w:val="24"/>
              </w:rPr>
              <w:t>的委托，我公司(</w:t>
            </w:r>
            <w:r>
              <w:rPr>
                <w:rFonts w:hint="eastAsia"/>
                <w:sz w:val="24"/>
                <w:lang w:eastAsia="zh-CN"/>
              </w:rPr>
              <w:t>贵州博远环咨科技有限公司</w:t>
            </w:r>
            <w:r>
              <w:rPr>
                <w:sz w:val="24"/>
              </w:rPr>
              <w:t>)承担了年</w:t>
            </w:r>
            <w:r>
              <w:rPr>
                <w:rFonts w:hint="eastAsia"/>
                <w:sz w:val="24"/>
              </w:rPr>
              <w:t>产</w:t>
            </w:r>
            <w:r>
              <w:rPr>
                <w:rFonts w:hint="eastAsia"/>
                <w:sz w:val="24"/>
                <w:lang w:eastAsia="zh-CN"/>
              </w:rPr>
              <w:t>180万</w:t>
            </w:r>
            <w:r>
              <w:rPr>
                <w:rFonts w:hint="eastAsia"/>
                <w:sz w:val="24"/>
              </w:rPr>
              <w:t>把</w:t>
            </w:r>
            <w:r>
              <w:rPr>
                <w:sz w:val="24"/>
              </w:rPr>
              <w:t>扳手生产线建设项目的环境影响评价工作。本项目产品工艺不涉及电镀、喷漆等工艺，根据《建设项目环境影响评价分类管理名录》（</w:t>
            </w:r>
            <w:r>
              <w:rPr>
                <w:rFonts w:hint="eastAsia"/>
                <w:sz w:val="24"/>
              </w:rPr>
              <w:t>于</w:t>
            </w:r>
            <w:r>
              <w:rPr>
                <w:sz w:val="24"/>
              </w:rPr>
              <w:t>2018年4月28日起施行）中的规定，本项目需编制环境影响报告表。我公司按照《环境影响评价技术导则》及相关规范要求，</w:t>
            </w:r>
            <w:r>
              <w:rPr>
                <w:rFonts w:hint="eastAsia"/>
                <w:sz w:val="24"/>
              </w:rPr>
              <w:t>通过现场踏勘，收集资料，走访调查，分析评价，在建设方提供的有关文件资料的基础上，编制了本环境影响报告表</w:t>
            </w:r>
            <w:r>
              <w:rPr>
                <w:sz w:val="24"/>
              </w:rPr>
              <w:t>。</w:t>
            </w:r>
          </w:p>
          <w:p>
            <w:pPr>
              <w:adjustRightInd w:val="0"/>
              <w:snapToGrid w:val="0"/>
              <w:spacing w:line="360" w:lineRule="auto"/>
              <w:ind w:firstLine="482" w:firstLineChars="200"/>
              <w:rPr>
                <w:b/>
                <w:sz w:val="24"/>
              </w:rPr>
            </w:pPr>
            <w:r>
              <w:rPr>
                <w:b/>
                <w:sz w:val="24"/>
              </w:rPr>
              <w:t>二、项目工程概况</w:t>
            </w:r>
          </w:p>
          <w:p>
            <w:pPr>
              <w:adjustRightInd w:val="0"/>
              <w:snapToGrid w:val="0"/>
              <w:spacing w:line="360" w:lineRule="auto"/>
              <w:ind w:firstLine="482" w:firstLineChars="200"/>
              <w:rPr>
                <w:b/>
                <w:sz w:val="24"/>
              </w:rPr>
            </w:pPr>
            <w:r>
              <w:rPr>
                <w:b/>
                <w:sz w:val="24"/>
              </w:rPr>
              <w:t>1、基本情况</w:t>
            </w:r>
          </w:p>
          <w:p>
            <w:pPr>
              <w:adjustRightInd w:val="0"/>
              <w:snapToGrid w:val="0"/>
              <w:spacing w:line="360" w:lineRule="auto"/>
              <w:ind w:firstLine="480" w:firstLineChars="200"/>
              <w:rPr>
                <w:sz w:val="24"/>
              </w:rPr>
            </w:pPr>
            <w:r>
              <w:rPr>
                <w:sz w:val="24"/>
              </w:rPr>
              <w:t>（1）项目名称：年</w:t>
            </w:r>
            <w:r>
              <w:rPr>
                <w:rFonts w:hint="eastAsia"/>
                <w:sz w:val="24"/>
              </w:rPr>
              <w:t>产</w:t>
            </w:r>
            <w:r>
              <w:rPr>
                <w:rFonts w:hint="eastAsia"/>
                <w:sz w:val="24"/>
                <w:lang w:eastAsia="zh-CN"/>
              </w:rPr>
              <w:t>180万</w:t>
            </w:r>
            <w:r>
              <w:rPr>
                <w:rFonts w:hint="eastAsia"/>
                <w:sz w:val="24"/>
              </w:rPr>
              <w:t>把</w:t>
            </w:r>
            <w:r>
              <w:rPr>
                <w:sz w:val="24"/>
              </w:rPr>
              <w:t>扳手生产线建设项目</w:t>
            </w:r>
          </w:p>
          <w:p>
            <w:pPr>
              <w:adjustRightInd w:val="0"/>
              <w:snapToGrid w:val="0"/>
              <w:spacing w:line="360" w:lineRule="auto"/>
              <w:ind w:firstLine="480" w:firstLineChars="200"/>
              <w:rPr>
                <w:rFonts w:hint="eastAsia" w:eastAsia="宋体"/>
                <w:sz w:val="24"/>
                <w:lang w:eastAsia="zh-CN"/>
              </w:rPr>
            </w:pPr>
            <w:r>
              <w:rPr>
                <w:sz w:val="24"/>
              </w:rPr>
              <w:t>（2）建设单位：</w:t>
            </w:r>
            <w:r>
              <w:rPr>
                <w:rFonts w:hint="eastAsia"/>
                <w:sz w:val="24"/>
                <w:lang w:eastAsia="zh-CN"/>
              </w:rPr>
              <w:t>邵东县兴顺五金工具厂</w:t>
            </w:r>
          </w:p>
          <w:p>
            <w:pPr>
              <w:adjustRightInd w:val="0"/>
              <w:snapToGrid w:val="0"/>
              <w:spacing w:line="360" w:lineRule="auto"/>
              <w:ind w:firstLine="480" w:firstLineChars="200"/>
              <w:rPr>
                <w:sz w:val="24"/>
              </w:rPr>
            </w:pPr>
            <w:r>
              <w:rPr>
                <w:sz w:val="24"/>
              </w:rPr>
              <w:t>（3）建设性质：新建</w:t>
            </w:r>
            <w:r>
              <w:rPr>
                <w:rFonts w:hint="eastAsia"/>
                <w:sz w:val="24"/>
                <w:lang w:eastAsia="zh-CN"/>
              </w:rPr>
              <w:t>（补办环评手续）</w:t>
            </w:r>
          </w:p>
          <w:p>
            <w:pPr>
              <w:adjustRightInd w:val="0"/>
              <w:snapToGrid w:val="0"/>
              <w:spacing w:line="360" w:lineRule="auto"/>
              <w:ind w:firstLine="480" w:firstLineChars="200"/>
              <w:rPr>
                <w:rFonts w:hint="eastAsia" w:eastAsia="宋体"/>
                <w:sz w:val="24"/>
                <w:lang w:eastAsia="zh-CN"/>
              </w:rPr>
            </w:pPr>
            <w:r>
              <w:rPr>
                <w:sz w:val="24"/>
              </w:rPr>
              <w:t>（4）建设地点：湖南省邵阳市</w:t>
            </w:r>
            <w:r>
              <w:rPr>
                <w:rFonts w:hint="eastAsia"/>
                <w:sz w:val="24"/>
                <w:lang w:eastAsia="zh-CN"/>
              </w:rPr>
              <w:t>邵东市仙槎桥镇平阳村</w:t>
            </w:r>
          </w:p>
          <w:p>
            <w:pPr>
              <w:adjustRightInd w:val="0"/>
              <w:snapToGrid w:val="0"/>
              <w:spacing w:line="360" w:lineRule="auto"/>
              <w:ind w:firstLine="480" w:firstLineChars="200"/>
              <w:rPr>
                <w:sz w:val="24"/>
              </w:rPr>
            </w:pPr>
            <w:r>
              <w:rPr>
                <w:sz w:val="24"/>
              </w:rPr>
              <w:t>（5）项目投资总额：</w:t>
            </w:r>
            <w:r>
              <w:rPr>
                <w:rFonts w:hint="eastAsia"/>
                <w:sz w:val="24"/>
                <w:lang w:eastAsia="zh-CN"/>
              </w:rPr>
              <w:t>180万</w:t>
            </w:r>
            <w:r>
              <w:rPr>
                <w:sz w:val="24"/>
              </w:rPr>
              <w:t>元</w:t>
            </w:r>
          </w:p>
          <w:p>
            <w:pPr>
              <w:spacing w:line="360" w:lineRule="auto"/>
              <w:ind w:firstLine="420" w:firstLineChars="200"/>
              <w:rPr>
                <w:sz w:val="24"/>
              </w:rPr>
            </w:pPr>
            <w:r>
              <w:t>（</w:t>
            </w:r>
            <w:r>
              <w:rPr>
                <w:sz w:val="24"/>
              </w:rPr>
              <w:t>6）周边情况：项目位于</w:t>
            </w:r>
            <w:r>
              <w:rPr>
                <w:rFonts w:hint="eastAsia"/>
                <w:sz w:val="24"/>
                <w:lang w:eastAsia="zh-CN"/>
              </w:rPr>
              <w:t>邵东市仙槎桥镇平阳村</w:t>
            </w:r>
            <w:r>
              <w:rPr>
                <w:sz w:val="24"/>
              </w:rPr>
              <w:t>内，</w:t>
            </w:r>
            <w:r>
              <w:rPr>
                <w:rFonts w:hint="eastAsia"/>
                <w:sz w:val="24"/>
                <w:lang w:val="en-US" w:eastAsia="zh-CN"/>
              </w:rPr>
              <w:t>东面为水塘、南面为农地、西面为公路、北面为农地</w:t>
            </w:r>
            <w:r>
              <w:rPr>
                <w:sz w:val="24"/>
              </w:rPr>
              <w:t>。</w:t>
            </w:r>
          </w:p>
          <w:p>
            <w:pPr>
              <w:adjustRightInd w:val="0"/>
              <w:snapToGrid w:val="0"/>
              <w:spacing w:line="360" w:lineRule="auto"/>
              <w:ind w:firstLine="482" w:firstLineChars="200"/>
              <w:rPr>
                <w:b/>
                <w:sz w:val="24"/>
              </w:rPr>
            </w:pPr>
            <w:r>
              <w:rPr>
                <w:b/>
                <w:sz w:val="24"/>
              </w:rPr>
              <w:t>2、项目主要建设内容及规模</w:t>
            </w:r>
          </w:p>
          <w:p>
            <w:pPr>
              <w:adjustRightInd w:val="0"/>
              <w:snapToGrid w:val="0"/>
              <w:spacing w:line="360" w:lineRule="auto"/>
              <w:ind w:firstLine="480" w:firstLineChars="200"/>
              <w:rPr>
                <w:sz w:val="24"/>
              </w:rPr>
            </w:pPr>
            <w:r>
              <w:rPr>
                <w:sz w:val="24"/>
              </w:rPr>
              <w:t>项目总占地面积为</w:t>
            </w:r>
            <w:r>
              <w:rPr>
                <w:rFonts w:hint="eastAsia"/>
                <w:sz w:val="24"/>
                <w:lang w:eastAsia="zh-CN"/>
              </w:rPr>
              <w:t>1600m</w:t>
            </w:r>
            <w:r>
              <w:rPr>
                <w:sz w:val="24"/>
                <w:vertAlign w:val="superscript"/>
              </w:rPr>
              <w:t>2</w:t>
            </w:r>
            <w:r>
              <w:rPr>
                <w:sz w:val="24"/>
              </w:rPr>
              <w:t>，工程内容包括主体工程、储运工程、辅助工程、公用工程和环保工程的建设。本项目工程建设内容详见下表。</w:t>
            </w:r>
          </w:p>
          <w:p>
            <w:pPr>
              <w:jc w:val="center"/>
              <w:rPr>
                <w:b/>
                <w:szCs w:val="21"/>
              </w:rPr>
            </w:pPr>
            <w:r>
              <w:rPr>
                <w:b/>
                <w:szCs w:val="21"/>
              </w:rPr>
              <w:t>表1-1  项目建设内容一览表</w:t>
            </w:r>
          </w:p>
          <w:tbl>
            <w:tblPr>
              <w:tblStyle w:val="38"/>
              <w:tblW w:w="88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8"/>
              <w:gridCol w:w="370"/>
              <w:gridCol w:w="1191"/>
              <w:gridCol w:w="3685"/>
              <w:gridCol w:w="3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989" w:type="dxa"/>
                  <w:gridSpan w:val="3"/>
                  <w:vAlign w:val="center"/>
                </w:tcPr>
                <w:p>
                  <w:pPr>
                    <w:jc w:val="center"/>
                  </w:pPr>
                  <w:r>
                    <w:t>项目名称</w:t>
                  </w:r>
                </w:p>
              </w:tc>
              <w:tc>
                <w:tcPr>
                  <w:tcW w:w="3685" w:type="dxa"/>
                  <w:vAlign w:val="center"/>
                </w:tcPr>
                <w:p>
                  <w:pPr>
                    <w:jc w:val="center"/>
                  </w:pPr>
                  <w:r>
                    <w:t>主要建设内容</w:t>
                  </w:r>
                </w:p>
              </w:tc>
              <w:tc>
                <w:tcPr>
                  <w:tcW w:w="3144" w:type="dxa"/>
                  <w:vAlign w:val="center"/>
                </w:tcPr>
                <w:p>
                  <w:pPr>
                    <w:jc w:val="center"/>
                  </w:pPr>
                  <w:r>
                    <w:t>备注</w:t>
                  </w:r>
                </w:p>
              </w:tc>
            </w:tr>
            <w:tr>
              <w:tblPrEx>
                <w:tblLayout w:type="fixed"/>
                <w:tblCellMar>
                  <w:top w:w="0" w:type="dxa"/>
                  <w:left w:w="108" w:type="dxa"/>
                  <w:bottom w:w="0" w:type="dxa"/>
                  <w:right w:w="108" w:type="dxa"/>
                </w:tblCellMar>
              </w:tblPrEx>
              <w:trPr>
                <w:trHeight w:val="397" w:hRule="atLeast"/>
                <w:jc w:val="center"/>
              </w:trPr>
              <w:tc>
                <w:tcPr>
                  <w:tcW w:w="798" w:type="dxa"/>
                  <w:gridSpan w:val="2"/>
                  <w:vAlign w:val="center"/>
                </w:tcPr>
                <w:p>
                  <w:pPr>
                    <w:jc w:val="center"/>
                  </w:pPr>
                  <w:r>
                    <w:t>主体工程</w:t>
                  </w:r>
                </w:p>
              </w:tc>
              <w:tc>
                <w:tcPr>
                  <w:tcW w:w="1191" w:type="dxa"/>
                  <w:vAlign w:val="center"/>
                </w:tcPr>
                <w:p>
                  <w:pPr>
                    <w:snapToGrid w:val="0"/>
                    <w:jc w:val="center"/>
                    <w:rPr>
                      <w:szCs w:val="21"/>
                    </w:rPr>
                  </w:pPr>
                  <w:r>
                    <w:rPr>
                      <w:szCs w:val="21"/>
                    </w:rPr>
                    <w:t>生产车间</w:t>
                  </w:r>
                </w:p>
              </w:tc>
              <w:tc>
                <w:tcPr>
                  <w:tcW w:w="3685" w:type="dxa"/>
                  <w:vAlign w:val="center"/>
                </w:tcPr>
                <w:p>
                  <w:pPr>
                    <w:jc w:val="center"/>
                    <w:rPr>
                      <w:szCs w:val="21"/>
                    </w:rPr>
                  </w:pPr>
                  <w:r>
                    <w:t>厂房，</w:t>
                  </w:r>
                  <w:r>
                    <w:rPr>
                      <w:rFonts w:hint="eastAsia"/>
                      <w:lang w:val="en-US" w:eastAsia="zh-CN"/>
                    </w:rPr>
                    <w:t>砖混结构、1</w:t>
                  </w:r>
                  <w:r>
                    <w:rPr>
                      <w:rFonts w:hint="eastAsia"/>
                    </w:rPr>
                    <w:t>F，</w:t>
                  </w:r>
                  <w:r>
                    <w:t>建筑面积1</w:t>
                  </w:r>
                  <w:r>
                    <w:rPr>
                      <w:rFonts w:hint="eastAsia"/>
                      <w:lang w:val="en-US" w:eastAsia="zh-CN"/>
                    </w:rPr>
                    <w:t>0</w:t>
                  </w:r>
                  <w:r>
                    <w:t>00</w:t>
                  </w:r>
                  <w:r>
                    <w:rPr>
                      <w:szCs w:val="21"/>
                    </w:rPr>
                    <w:t>m</w:t>
                  </w:r>
                  <w:r>
                    <w:rPr>
                      <w:szCs w:val="21"/>
                      <w:vertAlign w:val="superscript"/>
                    </w:rPr>
                    <w:t>2</w:t>
                  </w:r>
                  <w:r>
                    <w:rPr>
                      <w:szCs w:val="21"/>
                    </w:rPr>
                    <w:t>、其中包含</w:t>
                  </w:r>
                  <w:r>
                    <w:rPr>
                      <w:rFonts w:hint="eastAsia"/>
                      <w:szCs w:val="21"/>
                    </w:rPr>
                    <w:t>锻压车间</w:t>
                  </w:r>
                  <w:r>
                    <w:rPr>
                      <w:szCs w:val="21"/>
                    </w:rPr>
                    <w:t>、抛磨车间、研磨</w:t>
                  </w:r>
                  <w:r>
                    <w:rPr>
                      <w:rFonts w:hint="eastAsia"/>
                      <w:szCs w:val="21"/>
                    </w:rPr>
                    <w:t>车间</w:t>
                  </w:r>
                  <w:r>
                    <w:rPr>
                      <w:szCs w:val="21"/>
                    </w:rPr>
                    <w:t>等</w:t>
                  </w:r>
                </w:p>
              </w:tc>
              <w:tc>
                <w:tcPr>
                  <w:tcW w:w="3144" w:type="dxa"/>
                  <w:vAlign w:val="center"/>
                </w:tcPr>
                <w:p>
                  <w:pPr>
                    <w:jc w:val="center"/>
                  </w:pPr>
                  <w:r>
                    <w:rPr>
                      <w:rFonts w:hint="eastAsia"/>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98" w:type="dxa"/>
                  <w:gridSpan w:val="2"/>
                  <w:vAlign w:val="center"/>
                </w:tcPr>
                <w:p>
                  <w:pPr>
                    <w:jc w:val="center"/>
                  </w:pPr>
                  <w:r>
                    <w:t>储运工程</w:t>
                  </w:r>
                </w:p>
              </w:tc>
              <w:tc>
                <w:tcPr>
                  <w:tcW w:w="1191" w:type="dxa"/>
                  <w:vAlign w:val="center"/>
                </w:tcPr>
                <w:p>
                  <w:pPr>
                    <w:snapToGrid w:val="0"/>
                    <w:jc w:val="center"/>
                    <w:rPr>
                      <w:rFonts w:hint="eastAsia" w:eastAsia="宋体"/>
                      <w:szCs w:val="21"/>
                      <w:lang w:eastAsia="zh-CN"/>
                    </w:rPr>
                  </w:pPr>
                  <w:r>
                    <w:rPr>
                      <w:rFonts w:hint="eastAsia"/>
                      <w:szCs w:val="21"/>
                      <w:lang w:eastAsia="zh-CN"/>
                    </w:rPr>
                    <w:t>原料</w:t>
                  </w:r>
                  <w:r>
                    <w:rPr>
                      <w:rFonts w:hint="eastAsia"/>
                      <w:szCs w:val="21"/>
                      <w:lang w:val="en-US" w:eastAsia="zh-CN"/>
                    </w:rPr>
                    <w:t>堆棚</w:t>
                  </w:r>
                </w:p>
              </w:tc>
              <w:tc>
                <w:tcPr>
                  <w:tcW w:w="3685" w:type="dxa"/>
                  <w:vAlign w:val="center"/>
                </w:tcPr>
                <w:p>
                  <w:pPr>
                    <w:jc w:val="center"/>
                  </w:pPr>
                  <w:r>
                    <w:rPr>
                      <w:rFonts w:hint="eastAsia"/>
                    </w:rPr>
                    <w:t>位于研磨</w:t>
                  </w:r>
                  <w:r>
                    <w:t>车间东面</w:t>
                  </w:r>
                  <w:r>
                    <w:rPr>
                      <w:rFonts w:hint="eastAsia"/>
                    </w:rPr>
                    <w:t>，1F，</w:t>
                  </w:r>
                  <w:r>
                    <w:t>用于存放原辅材料，建筑面积</w:t>
                  </w:r>
                  <w:r>
                    <w:rPr>
                      <w:rFonts w:hint="eastAsia"/>
                      <w:lang w:val="en-US" w:eastAsia="zh-CN"/>
                    </w:rPr>
                    <w:t>2</w:t>
                  </w:r>
                  <w:r>
                    <w:t>00m</w:t>
                  </w:r>
                  <w:r>
                    <w:rPr>
                      <w:vertAlign w:val="superscript"/>
                    </w:rPr>
                    <w:t>2</w:t>
                  </w:r>
                </w:p>
              </w:tc>
              <w:tc>
                <w:tcPr>
                  <w:tcW w:w="3144" w:type="dxa"/>
                  <w:vAlign w:val="center"/>
                </w:tcPr>
                <w:p>
                  <w:pPr>
                    <w:jc w:val="center"/>
                  </w:pPr>
                  <w:r>
                    <w:rPr>
                      <w:rFonts w:hint="eastAsia"/>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8" w:hRule="atLeast"/>
                <w:jc w:val="center"/>
              </w:trPr>
              <w:tc>
                <w:tcPr>
                  <w:tcW w:w="798" w:type="dxa"/>
                  <w:gridSpan w:val="2"/>
                  <w:vAlign w:val="center"/>
                </w:tcPr>
                <w:p>
                  <w:pPr>
                    <w:jc w:val="center"/>
                  </w:pPr>
                  <w:r>
                    <w:t>辅助工程</w:t>
                  </w:r>
                </w:p>
              </w:tc>
              <w:tc>
                <w:tcPr>
                  <w:tcW w:w="1191" w:type="dxa"/>
                  <w:vAlign w:val="center"/>
                </w:tcPr>
                <w:p>
                  <w:pPr>
                    <w:snapToGrid w:val="0"/>
                    <w:jc w:val="center"/>
                    <w:rPr>
                      <w:szCs w:val="21"/>
                    </w:rPr>
                  </w:pPr>
                  <w:r>
                    <w:rPr>
                      <w:rFonts w:hint="eastAsia"/>
                      <w:szCs w:val="21"/>
                    </w:rPr>
                    <w:t>综合楼</w:t>
                  </w:r>
                </w:p>
              </w:tc>
              <w:tc>
                <w:tcPr>
                  <w:tcW w:w="3685" w:type="dxa"/>
                  <w:vAlign w:val="center"/>
                </w:tcPr>
                <w:p>
                  <w:pPr>
                    <w:jc w:val="center"/>
                  </w:pPr>
                  <w:r>
                    <w:t>占地面积</w:t>
                  </w:r>
                  <w:r>
                    <w:rPr>
                      <w:rFonts w:hint="eastAsia"/>
                      <w:lang w:val="en-US" w:eastAsia="zh-CN"/>
                    </w:rPr>
                    <w:t>2</w:t>
                  </w:r>
                  <w:r>
                    <w:t>00m</w:t>
                  </w:r>
                  <w:r>
                    <w:rPr>
                      <w:vertAlign w:val="superscript"/>
                    </w:rPr>
                    <w:t>2</w:t>
                  </w:r>
                </w:p>
              </w:tc>
              <w:tc>
                <w:tcPr>
                  <w:tcW w:w="3144" w:type="dxa"/>
                  <w:vAlign w:val="center"/>
                </w:tcPr>
                <w:p>
                  <w:pPr>
                    <w:jc w:val="center"/>
                  </w:pPr>
                  <w:r>
                    <w:rPr>
                      <w:rFonts w:hint="eastAsia"/>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jc w:val="center"/>
              </w:trPr>
              <w:tc>
                <w:tcPr>
                  <w:tcW w:w="428" w:type="dxa"/>
                  <w:vMerge w:val="restart"/>
                  <w:vAlign w:val="center"/>
                </w:tcPr>
                <w:p>
                  <w:pPr>
                    <w:jc w:val="center"/>
                  </w:pPr>
                  <w:r>
                    <w:t>公</w:t>
                  </w:r>
                </w:p>
                <w:p>
                  <w:pPr>
                    <w:jc w:val="center"/>
                  </w:pPr>
                  <w:r>
                    <w:t>用工程</w:t>
                  </w:r>
                </w:p>
              </w:tc>
              <w:tc>
                <w:tcPr>
                  <w:tcW w:w="370" w:type="dxa"/>
                  <w:vAlign w:val="center"/>
                </w:tcPr>
                <w:p>
                  <w:pPr>
                    <w:jc w:val="center"/>
                  </w:pPr>
                  <w:r>
                    <w:t>1</w:t>
                  </w:r>
                </w:p>
              </w:tc>
              <w:tc>
                <w:tcPr>
                  <w:tcW w:w="1191" w:type="dxa"/>
                  <w:vAlign w:val="center"/>
                </w:tcPr>
                <w:p>
                  <w:pPr>
                    <w:jc w:val="center"/>
                    <w:rPr>
                      <w:szCs w:val="21"/>
                    </w:rPr>
                  </w:pPr>
                  <w:r>
                    <w:rPr>
                      <w:szCs w:val="21"/>
                    </w:rPr>
                    <w:t>供水</w:t>
                  </w:r>
                </w:p>
              </w:tc>
              <w:tc>
                <w:tcPr>
                  <w:tcW w:w="3685" w:type="dxa"/>
                  <w:vAlign w:val="center"/>
                </w:tcPr>
                <w:p>
                  <w:pPr>
                    <w:widowControl/>
                    <w:jc w:val="center"/>
                    <w:rPr>
                      <w:szCs w:val="21"/>
                    </w:rPr>
                  </w:pPr>
                  <w:r>
                    <w:rPr>
                      <w:szCs w:val="21"/>
                    </w:rPr>
                    <w:t>当地自来水管网，PP-R给水管</w:t>
                  </w:r>
                </w:p>
              </w:tc>
              <w:tc>
                <w:tcPr>
                  <w:tcW w:w="3144" w:type="dxa"/>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jc w:val="center"/>
                  </w:pPr>
                </w:p>
              </w:tc>
              <w:tc>
                <w:tcPr>
                  <w:tcW w:w="370" w:type="dxa"/>
                  <w:vAlign w:val="center"/>
                </w:tcPr>
                <w:p>
                  <w:pPr>
                    <w:jc w:val="center"/>
                  </w:pPr>
                  <w:r>
                    <w:t>2</w:t>
                  </w:r>
                </w:p>
              </w:tc>
              <w:tc>
                <w:tcPr>
                  <w:tcW w:w="1191" w:type="dxa"/>
                  <w:vAlign w:val="center"/>
                </w:tcPr>
                <w:p>
                  <w:pPr>
                    <w:jc w:val="center"/>
                    <w:rPr>
                      <w:szCs w:val="21"/>
                    </w:rPr>
                  </w:pPr>
                  <w:r>
                    <w:rPr>
                      <w:szCs w:val="21"/>
                    </w:rPr>
                    <w:t>供电</w:t>
                  </w:r>
                </w:p>
              </w:tc>
              <w:tc>
                <w:tcPr>
                  <w:tcW w:w="3685" w:type="dxa"/>
                  <w:vAlign w:val="center"/>
                </w:tcPr>
                <w:p>
                  <w:pPr>
                    <w:jc w:val="center"/>
                    <w:rPr>
                      <w:szCs w:val="21"/>
                    </w:rPr>
                  </w:pPr>
                  <w:r>
                    <w:rPr>
                      <w:szCs w:val="21"/>
                    </w:rPr>
                    <w:t>当地电网提供，380/220V</w:t>
                  </w:r>
                </w:p>
              </w:tc>
              <w:tc>
                <w:tcPr>
                  <w:tcW w:w="3144" w:type="dxa"/>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jc w:val="center"/>
                  </w:pPr>
                </w:p>
              </w:tc>
              <w:tc>
                <w:tcPr>
                  <w:tcW w:w="370" w:type="dxa"/>
                  <w:vAlign w:val="center"/>
                </w:tcPr>
                <w:p>
                  <w:pPr>
                    <w:jc w:val="center"/>
                  </w:pPr>
                  <w:r>
                    <w:t>3</w:t>
                  </w:r>
                </w:p>
              </w:tc>
              <w:tc>
                <w:tcPr>
                  <w:tcW w:w="1191" w:type="dxa"/>
                  <w:vAlign w:val="center"/>
                </w:tcPr>
                <w:p>
                  <w:pPr>
                    <w:jc w:val="center"/>
                    <w:rPr>
                      <w:szCs w:val="21"/>
                    </w:rPr>
                  </w:pPr>
                  <w:r>
                    <w:rPr>
                      <w:szCs w:val="21"/>
                    </w:rPr>
                    <w:t>道路</w:t>
                  </w:r>
                </w:p>
              </w:tc>
              <w:tc>
                <w:tcPr>
                  <w:tcW w:w="3685" w:type="dxa"/>
                  <w:vAlign w:val="center"/>
                </w:tcPr>
                <w:p>
                  <w:pPr>
                    <w:jc w:val="center"/>
                    <w:rPr>
                      <w:szCs w:val="21"/>
                    </w:rPr>
                  </w:pPr>
                  <w:r>
                    <w:rPr>
                      <w:szCs w:val="21"/>
                    </w:rPr>
                    <w:t>厂内道路硬化</w:t>
                  </w:r>
                  <w:r>
                    <w:rPr>
                      <w:rFonts w:hint="eastAsia"/>
                      <w:szCs w:val="21"/>
                      <w:lang w:val="en-US" w:eastAsia="zh-CN"/>
                    </w:rPr>
                    <w:t>2</w:t>
                  </w:r>
                  <w:r>
                    <w:rPr>
                      <w:szCs w:val="21"/>
                    </w:rPr>
                    <w:t>00m</w:t>
                  </w:r>
                  <w:r>
                    <w:rPr>
                      <w:szCs w:val="21"/>
                      <w:vertAlign w:val="superscript"/>
                    </w:rPr>
                    <w:t>2</w:t>
                  </w:r>
                </w:p>
              </w:tc>
              <w:tc>
                <w:tcPr>
                  <w:tcW w:w="3144" w:type="dxa"/>
                  <w:vAlign w:val="center"/>
                </w:tcPr>
                <w:p>
                  <w:pPr>
                    <w:jc w:val="center"/>
                  </w:pPr>
                  <w:r>
                    <w:t>/</w:t>
                  </w:r>
                </w:p>
              </w:tc>
            </w:tr>
            <w:tr>
              <w:tblPrEx>
                <w:tblLayout w:type="fixed"/>
                <w:tblCellMar>
                  <w:top w:w="0" w:type="dxa"/>
                  <w:left w:w="108" w:type="dxa"/>
                  <w:bottom w:w="0" w:type="dxa"/>
                  <w:right w:w="108" w:type="dxa"/>
                </w:tblCellMar>
              </w:tblPrEx>
              <w:trPr>
                <w:trHeight w:val="557" w:hRule="atLeast"/>
                <w:jc w:val="center"/>
              </w:trPr>
              <w:tc>
                <w:tcPr>
                  <w:tcW w:w="428" w:type="dxa"/>
                  <w:vMerge w:val="restart"/>
                  <w:vAlign w:val="center"/>
                </w:tcPr>
                <w:p>
                  <w:pPr>
                    <w:jc w:val="center"/>
                  </w:pPr>
                  <w:r>
                    <w:t>环保工程</w:t>
                  </w:r>
                </w:p>
              </w:tc>
              <w:tc>
                <w:tcPr>
                  <w:tcW w:w="370" w:type="dxa"/>
                  <w:vAlign w:val="center"/>
                </w:tcPr>
                <w:p>
                  <w:pPr>
                    <w:jc w:val="center"/>
                  </w:pPr>
                  <w:r>
                    <w:t>1</w:t>
                  </w:r>
                </w:p>
              </w:tc>
              <w:tc>
                <w:tcPr>
                  <w:tcW w:w="1191" w:type="dxa"/>
                  <w:vAlign w:val="center"/>
                </w:tcPr>
                <w:p>
                  <w:pPr>
                    <w:ind w:leftChars="-71" w:hanging="149" w:hangingChars="71"/>
                    <w:jc w:val="center"/>
                  </w:pPr>
                  <w:r>
                    <w:t>废水治理</w:t>
                  </w:r>
                </w:p>
              </w:tc>
              <w:tc>
                <w:tcPr>
                  <w:tcW w:w="3685" w:type="dxa"/>
                  <w:vAlign w:val="center"/>
                </w:tcPr>
                <w:p>
                  <w:pPr>
                    <w:jc w:val="center"/>
                  </w:pPr>
                  <w:r>
                    <w:rPr>
                      <w:szCs w:val="21"/>
                    </w:rPr>
                    <w:t>项目区采用雨污分流制。</w:t>
                  </w:r>
                  <w:r>
                    <w:rPr>
                      <w:rFonts w:hint="eastAsia"/>
                      <w:szCs w:val="21"/>
                      <w:lang w:eastAsia="zh-CN"/>
                    </w:rPr>
                    <w:t>雨水直接排入附近的水塘</w:t>
                  </w:r>
                  <w:r>
                    <w:rPr>
                      <w:szCs w:val="21"/>
                    </w:rPr>
                    <w:t>；</w:t>
                  </w:r>
                  <w:r>
                    <w:rPr>
                      <w:rFonts w:hint="eastAsia"/>
                      <w:szCs w:val="21"/>
                      <w:lang w:eastAsia="zh-CN"/>
                    </w:rPr>
                    <w:t>生活污水经化粪池处理后用作农肥</w:t>
                  </w:r>
                  <w:r>
                    <w:rPr>
                      <w:szCs w:val="21"/>
                    </w:rPr>
                    <w:t>。</w:t>
                  </w:r>
                </w:p>
              </w:tc>
              <w:tc>
                <w:tcPr>
                  <w:tcW w:w="3144" w:type="dxa"/>
                  <w:vAlign w:val="center"/>
                </w:tcPr>
                <w:p>
                  <w:pPr>
                    <w:jc w:val="center"/>
                  </w:pPr>
                  <w:r>
                    <w:rPr>
                      <w:rFonts w:hint="eastAsia"/>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jc w:val="center"/>
                  </w:pPr>
                </w:p>
              </w:tc>
              <w:tc>
                <w:tcPr>
                  <w:tcW w:w="370" w:type="dxa"/>
                  <w:vAlign w:val="center"/>
                </w:tcPr>
                <w:p>
                  <w:pPr>
                    <w:jc w:val="center"/>
                  </w:pPr>
                  <w:r>
                    <w:rPr>
                      <w:rFonts w:hint="eastAsia"/>
                    </w:rPr>
                    <w:t>2</w:t>
                  </w:r>
                </w:p>
              </w:tc>
              <w:tc>
                <w:tcPr>
                  <w:tcW w:w="1191" w:type="dxa"/>
                  <w:vAlign w:val="center"/>
                </w:tcPr>
                <w:p>
                  <w:pPr>
                    <w:ind w:leftChars="-71" w:hanging="149" w:hangingChars="71"/>
                    <w:jc w:val="center"/>
                  </w:pPr>
                  <w:r>
                    <w:rPr>
                      <w:rFonts w:hint="eastAsia"/>
                    </w:rPr>
                    <w:t>废气</w:t>
                  </w:r>
                  <w:r>
                    <w:t>治理</w:t>
                  </w:r>
                </w:p>
              </w:tc>
              <w:tc>
                <w:tcPr>
                  <w:tcW w:w="3685" w:type="dxa"/>
                  <w:vAlign w:val="center"/>
                </w:tcPr>
                <w:p>
                  <w:pPr>
                    <w:jc w:val="center"/>
                    <w:rPr>
                      <w:rFonts w:hint="eastAsia" w:eastAsia="宋体"/>
                      <w:lang w:eastAsia="zh-CN"/>
                    </w:rPr>
                  </w:pPr>
                  <w:r>
                    <w:rPr>
                      <w:rFonts w:hint="eastAsia"/>
                      <w:szCs w:val="21"/>
                      <w:lang w:eastAsia="zh-CN"/>
                    </w:rPr>
                    <w:t>打磨粉尘经湿法除尘系统处理</w:t>
                  </w:r>
                  <w:r>
                    <w:rPr>
                      <w:szCs w:val="21"/>
                    </w:rPr>
                    <w:t>，处理后在厂区内无组织排放</w:t>
                  </w:r>
                  <w:r>
                    <w:rPr>
                      <w:rFonts w:hint="eastAsia"/>
                      <w:szCs w:val="21"/>
                    </w:rPr>
                    <w:t>；</w:t>
                  </w:r>
                  <w:r>
                    <w:rPr>
                      <w:rFonts w:hint="eastAsia"/>
                      <w:szCs w:val="21"/>
                      <w:lang w:eastAsia="zh-CN"/>
                    </w:rPr>
                    <w:t>抛丸</w:t>
                  </w:r>
                  <w:r>
                    <w:rPr>
                      <w:szCs w:val="21"/>
                    </w:rPr>
                    <w:t>粉尘经自配除尘器处理后在厂区无组织排放；</w:t>
                  </w:r>
                  <w:r>
                    <w:rPr>
                      <w:rFonts w:hint="eastAsia"/>
                      <w:szCs w:val="21"/>
                      <w:lang w:eastAsia="zh-CN"/>
                    </w:rPr>
                    <w:t>抛光粉尘经湿法除尘系统处理，处理后在厂区内无组织排放</w:t>
                  </w:r>
                </w:p>
              </w:tc>
              <w:tc>
                <w:tcPr>
                  <w:tcW w:w="3144" w:type="dxa"/>
                  <w:vAlign w:val="center"/>
                </w:tcPr>
                <w:p>
                  <w:pPr>
                    <w:jc w:val="center"/>
                  </w:pPr>
                  <w:r>
                    <w:rPr>
                      <w:rFonts w:hint="eastAsia"/>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jc w:val="center"/>
                  </w:pPr>
                </w:p>
              </w:tc>
              <w:tc>
                <w:tcPr>
                  <w:tcW w:w="370" w:type="dxa"/>
                  <w:vAlign w:val="center"/>
                </w:tcPr>
                <w:p>
                  <w:pPr>
                    <w:jc w:val="center"/>
                  </w:pPr>
                  <w:r>
                    <w:t>3</w:t>
                  </w:r>
                </w:p>
              </w:tc>
              <w:tc>
                <w:tcPr>
                  <w:tcW w:w="1191" w:type="dxa"/>
                  <w:vAlign w:val="center"/>
                </w:tcPr>
                <w:p>
                  <w:pPr>
                    <w:ind w:leftChars="-71" w:hanging="149" w:hangingChars="71"/>
                    <w:jc w:val="center"/>
                    <w:rPr>
                      <w:szCs w:val="21"/>
                    </w:rPr>
                  </w:pPr>
                  <w:r>
                    <w:rPr>
                      <w:szCs w:val="21"/>
                    </w:rPr>
                    <w:t>噪声措施</w:t>
                  </w:r>
                </w:p>
              </w:tc>
              <w:tc>
                <w:tcPr>
                  <w:tcW w:w="3685" w:type="dxa"/>
                  <w:vAlign w:val="center"/>
                </w:tcPr>
                <w:p>
                  <w:pPr>
                    <w:jc w:val="center"/>
                  </w:pPr>
                  <w:r>
                    <w:t>隔声、减振措施</w:t>
                  </w:r>
                </w:p>
              </w:tc>
              <w:tc>
                <w:tcPr>
                  <w:tcW w:w="3144" w:type="dxa"/>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28" w:type="dxa"/>
                  <w:vMerge w:val="continue"/>
                  <w:vAlign w:val="center"/>
                </w:tcPr>
                <w:p>
                  <w:pPr>
                    <w:jc w:val="center"/>
                  </w:pPr>
                </w:p>
              </w:tc>
              <w:tc>
                <w:tcPr>
                  <w:tcW w:w="370" w:type="dxa"/>
                  <w:vMerge w:val="restart"/>
                  <w:vAlign w:val="center"/>
                </w:tcPr>
                <w:p>
                  <w:pPr>
                    <w:jc w:val="center"/>
                  </w:pPr>
                  <w:r>
                    <w:rPr>
                      <w:rFonts w:hint="eastAsia"/>
                    </w:rPr>
                    <w:t>4</w:t>
                  </w:r>
                </w:p>
              </w:tc>
              <w:tc>
                <w:tcPr>
                  <w:tcW w:w="1191" w:type="dxa"/>
                  <w:vAlign w:val="center"/>
                </w:tcPr>
                <w:p>
                  <w:pPr>
                    <w:ind w:leftChars="-71" w:hanging="149" w:hangingChars="71"/>
                    <w:jc w:val="center"/>
                  </w:pPr>
                  <w:r>
                    <w:t>生活垃圾</w:t>
                  </w:r>
                </w:p>
              </w:tc>
              <w:tc>
                <w:tcPr>
                  <w:tcW w:w="3685" w:type="dxa"/>
                  <w:vAlign w:val="center"/>
                </w:tcPr>
                <w:p>
                  <w:pPr>
                    <w:jc w:val="center"/>
                  </w:pPr>
                  <w:r>
                    <w:t>生活垃圾垃圾桶收集，交由环卫部门处理</w:t>
                  </w:r>
                </w:p>
              </w:tc>
              <w:tc>
                <w:tcPr>
                  <w:tcW w:w="314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jc w:val="center"/>
              </w:trPr>
              <w:tc>
                <w:tcPr>
                  <w:tcW w:w="428" w:type="dxa"/>
                  <w:vMerge w:val="continue"/>
                  <w:vAlign w:val="center"/>
                </w:tcPr>
                <w:p>
                  <w:pPr>
                    <w:jc w:val="center"/>
                  </w:pPr>
                </w:p>
              </w:tc>
              <w:tc>
                <w:tcPr>
                  <w:tcW w:w="370" w:type="dxa"/>
                  <w:vMerge w:val="continue"/>
                  <w:vAlign w:val="center"/>
                </w:tcPr>
                <w:p>
                  <w:pPr>
                    <w:jc w:val="center"/>
                  </w:pPr>
                </w:p>
              </w:tc>
              <w:tc>
                <w:tcPr>
                  <w:tcW w:w="1191" w:type="dxa"/>
                  <w:vAlign w:val="center"/>
                </w:tcPr>
                <w:p>
                  <w:pPr>
                    <w:ind w:leftChars="-71" w:hanging="149" w:hangingChars="71"/>
                    <w:jc w:val="center"/>
                  </w:pPr>
                  <w:r>
                    <w:t>危险废物</w:t>
                  </w:r>
                </w:p>
              </w:tc>
              <w:tc>
                <w:tcPr>
                  <w:tcW w:w="3685" w:type="dxa"/>
                  <w:vAlign w:val="center"/>
                </w:tcPr>
                <w:p>
                  <w:pPr>
                    <w:jc w:val="center"/>
                    <w:rPr>
                      <w:szCs w:val="21"/>
                    </w:rPr>
                  </w:pPr>
                  <w:r>
                    <w:rPr>
                      <w:szCs w:val="21"/>
                    </w:rPr>
                    <w:t>在厂区</w:t>
                  </w:r>
                  <w:r>
                    <w:rPr>
                      <w:rFonts w:hint="eastAsia"/>
                      <w:szCs w:val="21"/>
                      <w:lang w:val="en-US" w:eastAsia="zh-CN"/>
                    </w:rPr>
                    <w:t>东</w:t>
                  </w:r>
                  <w:r>
                    <w:rPr>
                      <w:szCs w:val="21"/>
                    </w:rPr>
                    <w:t>面设置一个10m</w:t>
                  </w:r>
                  <w:r>
                    <w:rPr>
                      <w:szCs w:val="21"/>
                      <w:vertAlign w:val="superscript"/>
                    </w:rPr>
                    <w:t>2</w:t>
                  </w:r>
                  <w:r>
                    <w:rPr>
                      <w:szCs w:val="21"/>
                    </w:rPr>
                    <w:t>的危废暂存间</w:t>
                  </w:r>
                </w:p>
              </w:tc>
              <w:tc>
                <w:tcPr>
                  <w:tcW w:w="3144" w:type="dxa"/>
                  <w:vAlign w:val="center"/>
                </w:tcPr>
                <w:p>
                  <w:pPr>
                    <w:jc w:val="center"/>
                    <w:rPr>
                      <w:szCs w:val="21"/>
                    </w:rPr>
                  </w:pPr>
                  <w:r>
                    <w:rPr>
                      <w:szCs w:val="21"/>
                    </w:rPr>
                    <w:t>拟建</w:t>
                  </w:r>
                </w:p>
              </w:tc>
            </w:tr>
            <w:tr>
              <w:tblPrEx>
                <w:tblLayout w:type="fixed"/>
                <w:tblCellMar>
                  <w:top w:w="0" w:type="dxa"/>
                  <w:left w:w="108" w:type="dxa"/>
                  <w:bottom w:w="0" w:type="dxa"/>
                  <w:right w:w="108" w:type="dxa"/>
                </w:tblCellMar>
              </w:tblPrEx>
              <w:trPr>
                <w:trHeight w:val="271" w:hRule="atLeast"/>
                <w:jc w:val="center"/>
              </w:trPr>
              <w:tc>
                <w:tcPr>
                  <w:tcW w:w="428" w:type="dxa"/>
                  <w:vMerge w:val="continue"/>
                  <w:vAlign w:val="center"/>
                </w:tcPr>
                <w:p>
                  <w:pPr>
                    <w:jc w:val="center"/>
                  </w:pPr>
                </w:p>
              </w:tc>
              <w:tc>
                <w:tcPr>
                  <w:tcW w:w="370" w:type="dxa"/>
                  <w:vMerge w:val="continue"/>
                  <w:vAlign w:val="center"/>
                </w:tcPr>
                <w:p>
                  <w:pPr>
                    <w:jc w:val="center"/>
                  </w:pPr>
                </w:p>
              </w:tc>
              <w:tc>
                <w:tcPr>
                  <w:tcW w:w="1191" w:type="dxa"/>
                  <w:vAlign w:val="center"/>
                </w:tcPr>
                <w:p>
                  <w:pPr>
                    <w:ind w:leftChars="-71" w:hanging="149" w:hangingChars="71"/>
                    <w:jc w:val="center"/>
                  </w:pPr>
                  <w:r>
                    <w:t>一般固废</w:t>
                  </w:r>
                </w:p>
              </w:tc>
              <w:tc>
                <w:tcPr>
                  <w:tcW w:w="3685" w:type="dxa"/>
                  <w:vAlign w:val="center"/>
                </w:tcPr>
                <w:p>
                  <w:pPr>
                    <w:jc w:val="center"/>
                    <w:rPr>
                      <w:szCs w:val="21"/>
                    </w:rPr>
                  </w:pPr>
                  <w:r>
                    <w:rPr>
                      <w:szCs w:val="21"/>
                    </w:rPr>
                    <w:t>在厂区</w:t>
                  </w:r>
                  <w:r>
                    <w:rPr>
                      <w:rFonts w:hint="eastAsia"/>
                      <w:szCs w:val="21"/>
                      <w:lang w:val="en-US" w:eastAsia="zh-CN"/>
                    </w:rPr>
                    <w:t>东</w:t>
                  </w:r>
                  <w:r>
                    <w:rPr>
                      <w:szCs w:val="21"/>
                    </w:rPr>
                    <w:t>面设置一个20m</w:t>
                  </w:r>
                  <w:r>
                    <w:rPr>
                      <w:szCs w:val="21"/>
                      <w:vertAlign w:val="superscript"/>
                    </w:rPr>
                    <w:t>2</w:t>
                  </w:r>
                  <w:r>
                    <w:rPr>
                      <w:szCs w:val="21"/>
                    </w:rPr>
                    <w:t>的一般固废暂存间</w:t>
                  </w:r>
                </w:p>
              </w:tc>
              <w:tc>
                <w:tcPr>
                  <w:tcW w:w="3144" w:type="dxa"/>
                  <w:vAlign w:val="center"/>
                </w:tcPr>
                <w:p>
                  <w:pPr>
                    <w:jc w:val="center"/>
                    <w:rPr>
                      <w:szCs w:val="21"/>
                    </w:rPr>
                  </w:pPr>
                  <w:r>
                    <w:rPr>
                      <w:szCs w:val="21"/>
                    </w:rPr>
                    <w:t>拟建</w:t>
                  </w:r>
                </w:p>
              </w:tc>
            </w:tr>
          </w:tbl>
          <w:p>
            <w:pPr>
              <w:adjustRightInd w:val="0"/>
              <w:snapToGrid w:val="0"/>
              <w:spacing w:line="360" w:lineRule="auto"/>
              <w:ind w:firstLine="480" w:firstLineChars="200"/>
              <w:rPr>
                <w:sz w:val="24"/>
              </w:rPr>
            </w:pPr>
            <w:r>
              <w:rPr>
                <w:sz w:val="24"/>
              </w:rPr>
              <w:t>项目的主要经济技术指标见下表。</w:t>
            </w:r>
          </w:p>
          <w:p>
            <w:pPr>
              <w:jc w:val="center"/>
              <w:rPr>
                <w:b/>
                <w:szCs w:val="21"/>
              </w:rPr>
            </w:pPr>
            <w:r>
              <w:rPr>
                <w:b/>
                <w:szCs w:val="21"/>
              </w:rPr>
              <w:t>表1-2  项目主要经济技术指标一览表</w:t>
            </w:r>
          </w:p>
          <w:tbl>
            <w:tblPr>
              <w:tblStyle w:val="38"/>
              <w:tblW w:w="88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0"/>
              <w:gridCol w:w="2488"/>
              <w:gridCol w:w="1640"/>
              <w:gridCol w:w="1279"/>
              <w:gridCol w:w="19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450" w:type="dxa"/>
                  <w:vAlign w:val="center"/>
                </w:tcPr>
                <w:p>
                  <w:pPr>
                    <w:jc w:val="center"/>
                    <w:rPr>
                      <w:szCs w:val="21"/>
                    </w:rPr>
                  </w:pPr>
                  <w:r>
                    <w:rPr>
                      <w:szCs w:val="21"/>
                    </w:rPr>
                    <w:t>序号</w:t>
                  </w:r>
                </w:p>
              </w:tc>
              <w:tc>
                <w:tcPr>
                  <w:tcW w:w="2488" w:type="dxa"/>
                  <w:vAlign w:val="center"/>
                </w:tcPr>
                <w:p>
                  <w:pPr>
                    <w:jc w:val="center"/>
                    <w:rPr>
                      <w:szCs w:val="21"/>
                    </w:rPr>
                  </w:pPr>
                  <w:r>
                    <w:rPr>
                      <w:szCs w:val="21"/>
                    </w:rPr>
                    <w:t>项目名称</w:t>
                  </w:r>
                </w:p>
              </w:tc>
              <w:tc>
                <w:tcPr>
                  <w:tcW w:w="1640" w:type="dxa"/>
                  <w:vAlign w:val="center"/>
                </w:tcPr>
                <w:p>
                  <w:pPr>
                    <w:jc w:val="center"/>
                    <w:rPr>
                      <w:szCs w:val="21"/>
                    </w:rPr>
                  </w:pPr>
                  <w:r>
                    <w:rPr>
                      <w:szCs w:val="21"/>
                    </w:rPr>
                    <w:t>单位</w:t>
                  </w:r>
                </w:p>
              </w:tc>
              <w:tc>
                <w:tcPr>
                  <w:tcW w:w="1279" w:type="dxa"/>
                  <w:vAlign w:val="center"/>
                </w:tcPr>
                <w:p>
                  <w:pPr>
                    <w:jc w:val="center"/>
                    <w:rPr>
                      <w:szCs w:val="21"/>
                    </w:rPr>
                  </w:pPr>
                  <w:r>
                    <w:rPr>
                      <w:szCs w:val="21"/>
                    </w:rPr>
                    <w:t>数量</w:t>
                  </w:r>
                </w:p>
              </w:tc>
              <w:tc>
                <w:tcPr>
                  <w:tcW w:w="1961" w:type="dxa"/>
                  <w:vAlign w:val="center"/>
                </w:tcPr>
                <w:p>
                  <w:pPr>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450" w:type="dxa"/>
                  <w:vAlign w:val="center"/>
                </w:tcPr>
                <w:p>
                  <w:pPr>
                    <w:jc w:val="center"/>
                    <w:rPr>
                      <w:szCs w:val="21"/>
                    </w:rPr>
                  </w:pPr>
                  <w:r>
                    <w:rPr>
                      <w:szCs w:val="21"/>
                    </w:rPr>
                    <w:t>1</w:t>
                  </w:r>
                </w:p>
              </w:tc>
              <w:tc>
                <w:tcPr>
                  <w:tcW w:w="2488" w:type="dxa"/>
                  <w:vAlign w:val="center"/>
                </w:tcPr>
                <w:p>
                  <w:pPr>
                    <w:jc w:val="center"/>
                    <w:rPr>
                      <w:szCs w:val="21"/>
                    </w:rPr>
                  </w:pPr>
                  <w:r>
                    <w:rPr>
                      <w:szCs w:val="21"/>
                    </w:rPr>
                    <w:t>占地面积</w:t>
                  </w:r>
                </w:p>
              </w:tc>
              <w:tc>
                <w:tcPr>
                  <w:tcW w:w="1640" w:type="dxa"/>
                  <w:vAlign w:val="center"/>
                </w:tcPr>
                <w:p>
                  <w:pPr>
                    <w:jc w:val="center"/>
                    <w:rPr>
                      <w:szCs w:val="21"/>
                    </w:rPr>
                  </w:pPr>
                  <w:r>
                    <w:rPr>
                      <w:szCs w:val="21"/>
                    </w:rPr>
                    <w:t>m</w:t>
                  </w:r>
                  <w:r>
                    <w:rPr>
                      <w:szCs w:val="21"/>
                      <w:vertAlign w:val="superscript"/>
                    </w:rPr>
                    <w:t>2</w:t>
                  </w:r>
                </w:p>
              </w:tc>
              <w:tc>
                <w:tcPr>
                  <w:tcW w:w="1279" w:type="dxa"/>
                  <w:vAlign w:val="center"/>
                </w:tcPr>
                <w:p>
                  <w:pPr>
                    <w:jc w:val="center"/>
                    <w:rPr>
                      <w:rFonts w:hint="default" w:eastAsia="宋体"/>
                      <w:szCs w:val="21"/>
                      <w:lang w:val="en-US" w:eastAsia="zh-CN"/>
                    </w:rPr>
                  </w:pPr>
                  <w:r>
                    <w:rPr>
                      <w:rFonts w:hint="eastAsia"/>
                      <w:szCs w:val="21"/>
                      <w:lang w:val="en-US" w:eastAsia="zh-CN"/>
                    </w:rPr>
                    <w:t>1600</w:t>
                  </w:r>
                </w:p>
              </w:tc>
              <w:tc>
                <w:tcPr>
                  <w:tcW w:w="1961"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450" w:type="dxa"/>
                  <w:vAlign w:val="center"/>
                </w:tcPr>
                <w:p>
                  <w:pPr>
                    <w:jc w:val="center"/>
                    <w:rPr>
                      <w:szCs w:val="21"/>
                    </w:rPr>
                  </w:pPr>
                  <w:r>
                    <w:rPr>
                      <w:szCs w:val="21"/>
                    </w:rPr>
                    <w:t>2</w:t>
                  </w:r>
                </w:p>
              </w:tc>
              <w:tc>
                <w:tcPr>
                  <w:tcW w:w="2488" w:type="dxa"/>
                  <w:vAlign w:val="center"/>
                </w:tcPr>
                <w:p>
                  <w:pPr>
                    <w:jc w:val="center"/>
                    <w:rPr>
                      <w:szCs w:val="21"/>
                    </w:rPr>
                  </w:pPr>
                  <w:r>
                    <w:rPr>
                      <w:szCs w:val="21"/>
                    </w:rPr>
                    <w:t>建筑物占地面积</w:t>
                  </w:r>
                </w:p>
              </w:tc>
              <w:tc>
                <w:tcPr>
                  <w:tcW w:w="1640" w:type="dxa"/>
                  <w:vAlign w:val="center"/>
                </w:tcPr>
                <w:p>
                  <w:pPr>
                    <w:jc w:val="center"/>
                    <w:rPr>
                      <w:szCs w:val="21"/>
                    </w:rPr>
                  </w:pPr>
                  <w:r>
                    <w:rPr>
                      <w:szCs w:val="21"/>
                    </w:rPr>
                    <w:t>m</w:t>
                  </w:r>
                  <w:r>
                    <w:rPr>
                      <w:szCs w:val="21"/>
                      <w:vertAlign w:val="superscript"/>
                    </w:rPr>
                    <w:t>2</w:t>
                  </w:r>
                </w:p>
              </w:tc>
              <w:tc>
                <w:tcPr>
                  <w:tcW w:w="1279" w:type="dxa"/>
                  <w:vAlign w:val="center"/>
                </w:tcPr>
                <w:p>
                  <w:pPr>
                    <w:jc w:val="center"/>
                    <w:rPr>
                      <w:rFonts w:hint="default" w:eastAsia="宋体"/>
                      <w:szCs w:val="21"/>
                      <w:lang w:val="en-US" w:eastAsia="zh-CN"/>
                    </w:rPr>
                  </w:pPr>
                  <w:r>
                    <w:rPr>
                      <w:rFonts w:hint="eastAsia"/>
                      <w:szCs w:val="21"/>
                      <w:lang w:val="en-US" w:eastAsia="zh-CN"/>
                    </w:rPr>
                    <w:t>1400</w:t>
                  </w:r>
                </w:p>
              </w:tc>
              <w:tc>
                <w:tcPr>
                  <w:tcW w:w="1961"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450" w:type="dxa"/>
                  <w:vAlign w:val="center"/>
                </w:tcPr>
                <w:p>
                  <w:pPr>
                    <w:jc w:val="center"/>
                    <w:rPr>
                      <w:szCs w:val="21"/>
                    </w:rPr>
                  </w:pPr>
                  <w:r>
                    <w:rPr>
                      <w:szCs w:val="21"/>
                    </w:rPr>
                    <w:t>3</w:t>
                  </w:r>
                </w:p>
              </w:tc>
              <w:tc>
                <w:tcPr>
                  <w:tcW w:w="2488" w:type="dxa"/>
                  <w:vAlign w:val="center"/>
                </w:tcPr>
                <w:p>
                  <w:pPr>
                    <w:jc w:val="center"/>
                    <w:rPr>
                      <w:szCs w:val="21"/>
                    </w:rPr>
                  </w:pPr>
                  <w:r>
                    <w:rPr>
                      <w:szCs w:val="21"/>
                    </w:rPr>
                    <w:t>总建筑面积</w:t>
                  </w:r>
                </w:p>
              </w:tc>
              <w:tc>
                <w:tcPr>
                  <w:tcW w:w="1640" w:type="dxa"/>
                  <w:vAlign w:val="center"/>
                </w:tcPr>
                <w:p>
                  <w:pPr>
                    <w:jc w:val="center"/>
                    <w:rPr>
                      <w:szCs w:val="21"/>
                    </w:rPr>
                  </w:pPr>
                  <w:r>
                    <w:rPr>
                      <w:szCs w:val="21"/>
                    </w:rPr>
                    <w:t>m</w:t>
                  </w:r>
                  <w:r>
                    <w:rPr>
                      <w:szCs w:val="21"/>
                      <w:vertAlign w:val="superscript"/>
                    </w:rPr>
                    <w:t>2</w:t>
                  </w:r>
                </w:p>
              </w:tc>
              <w:tc>
                <w:tcPr>
                  <w:tcW w:w="1279" w:type="dxa"/>
                  <w:vAlign w:val="center"/>
                </w:tcPr>
                <w:p>
                  <w:pPr>
                    <w:jc w:val="center"/>
                    <w:rPr>
                      <w:rFonts w:hint="default" w:eastAsia="宋体"/>
                      <w:szCs w:val="21"/>
                      <w:lang w:val="en-US" w:eastAsia="zh-CN"/>
                    </w:rPr>
                  </w:pPr>
                  <w:r>
                    <w:rPr>
                      <w:rFonts w:hint="eastAsia"/>
                      <w:szCs w:val="21"/>
                      <w:lang w:val="en-US" w:eastAsia="zh-CN"/>
                    </w:rPr>
                    <w:t>1400</w:t>
                  </w:r>
                </w:p>
              </w:tc>
              <w:tc>
                <w:tcPr>
                  <w:tcW w:w="1961"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450" w:type="dxa"/>
                  <w:vAlign w:val="center"/>
                </w:tcPr>
                <w:p>
                  <w:pPr>
                    <w:jc w:val="center"/>
                    <w:rPr>
                      <w:szCs w:val="21"/>
                    </w:rPr>
                  </w:pPr>
                  <w:r>
                    <w:rPr>
                      <w:szCs w:val="21"/>
                    </w:rPr>
                    <w:t>4</w:t>
                  </w:r>
                </w:p>
              </w:tc>
              <w:tc>
                <w:tcPr>
                  <w:tcW w:w="2488" w:type="dxa"/>
                  <w:vAlign w:val="center"/>
                </w:tcPr>
                <w:p>
                  <w:pPr>
                    <w:jc w:val="center"/>
                    <w:rPr>
                      <w:szCs w:val="21"/>
                    </w:rPr>
                  </w:pPr>
                  <w:r>
                    <w:rPr>
                      <w:szCs w:val="21"/>
                    </w:rPr>
                    <w:t>总投资</w:t>
                  </w:r>
                </w:p>
              </w:tc>
              <w:tc>
                <w:tcPr>
                  <w:tcW w:w="1640" w:type="dxa"/>
                  <w:vAlign w:val="center"/>
                </w:tcPr>
                <w:p>
                  <w:pPr>
                    <w:jc w:val="center"/>
                    <w:rPr>
                      <w:szCs w:val="21"/>
                    </w:rPr>
                  </w:pPr>
                  <w:r>
                    <w:rPr>
                      <w:szCs w:val="21"/>
                    </w:rPr>
                    <w:t>万元</w:t>
                  </w:r>
                </w:p>
              </w:tc>
              <w:tc>
                <w:tcPr>
                  <w:tcW w:w="1279" w:type="dxa"/>
                  <w:vAlign w:val="center"/>
                </w:tcPr>
                <w:p>
                  <w:pPr>
                    <w:jc w:val="center"/>
                    <w:rPr>
                      <w:rFonts w:hint="default" w:eastAsia="宋体"/>
                      <w:szCs w:val="21"/>
                      <w:lang w:val="en-US" w:eastAsia="zh-CN"/>
                    </w:rPr>
                  </w:pPr>
                  <w:r>
                    <w:rPr>
                      <w:rFonts w:hint="eastAsia"/>
                      <w:szCs w:val="21"/>
                      <w:lang w:val="en-US" w:eastAsia="zh-CN"/>
                    </w:rPr>
                    <w:t>180</w:t>
                  </w:r>
                </w:p>
              </w:tc>
              <w:tc>
                <w:tcPr>
                  <w:tcW w:w="1961"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450" w:type="dxa"/>
                  <w:vAlign w:val="center"/>
                </w:tcPr>
                <w:p>
                  <w:pPr>
                    <w:jc w:val="center"/>
                    <w:rPr>
                      <w:szCs w:val="21"/>
                    </w:rPr>
                  </w:pPr>
                  <w:r>
                    <w:rPr>
                      <w:szCs w:val="21"/>
                    </w:rPr>
                    <w:t>5</w:t>
                  </w:r>
                </w:p>
              </w:tc>
              <w:tc>
                <w:tcPr>
                  <w:tcW w:w="2488" w:type="dxa"/>
                  <w:vAlign w:val="center"/>
                </w:tcPr>
                <w:p>
                  <w:pPr>
                    <w:jc w:val="center"/>
                    <w:rPr>
                      <w:szCs w:val="21"/>
                    </w:rPr>
                  </w:pPr>
                  <w:r>
                    <w:rPr>
                      <w:szCs w:val="21"/>
                    </w:rPr>
                    <w:t>环保投资</w:t>
                  </w:r>
                </w:p>
              </w:tc>
              <w:tc>
                <w:tcPr>
                  <w:tcW w:w="1640" w:type="dxa"/>
                  <w:vAlign w:val="center"/>
                </w:tcPr>
                <w:p>
                  <w:pPr>
                    <w:jc w:val="center"/>
                    <w:rPr>
                      <w:szCs w:val="21"/>
                    </w:rPr>
                  </w:pPr>
                  <w:r>
                    <w:rPr>
                      <w:szCs w:val="21"/>
                    </w:rPr>
                    <w:t>万元</w:t>
                  </w:r>
                </w:p>
              </w:tc>
              <w:tc>
                <w:tcPr>
                  <w:tcW w:w="1279" w:type="dxa"/>
                  <w:vAlign w:val="center"/>
                </w:tcPr>
                <w:p>
                  <w:pPr>
                    <w:jc w:val="center"/>
                    <w:rPr>
                      <w:szCs w:val="21"/>
                    </w:rPr>
                  </w:pPr>
                  <w:r>
                    <w:rPr>
                      <w:rFonts w:hint="eastAsia"/>
                      <w:szCs w:val="21"/>
                    </w:rPr>
                    <w:t>1</w:t>
                  </w:r>
                  <w:r>
                    <w:rPr>
                      <w:rFonts w:hint="eastAsia"/>
                      <w:szCs w:val="21"/>
                      <w:lang w:val="en-US" w:eastAsia="zh-CN"/>
                    </w:rPr>
                    <w:t>5</w:t>
                  </w:r>
                </w:p>
              </w:tc>
              <w:tc>
                <w:tcPr>
                  <w:tcW w:w="1961"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450" w:type="dxa"/>
                  <w:vAlign w:val="center"/>
                </w:tcPr>
                <w:p>
                  <w:pPr>
                    <w:jc w:val="center"/>
                    <w:rPr>
                      <w:szCs w:val="21"/>
                    </w:rPr>
                  </w:pPr>
                  <w:r>
                    <w:rPr>
                      <w:szCs w:val="21"/>
                    </w:rPr>
                    <w:t>6</w:t>
                  </w:r>
                </w:p>
              </w:tc>
              <w:tc>
                <w:tcPr>
                  <w:tcW w:w="2488" w:type="dxa"/>
                  <w:vAlign w:val="center"/>
                </w:tcPr>
                <w:p>
                  <w:pPr>
                    <w:jc w:val="center"/>
                    <w:rPr>
                      <w:szCs w:val="21"/>
                    </w:rPr>
                  </w:pPr>
                  <w:r>
                    <w:rPr>
                      <w:szCs w:val="21"/>
                    </w:rPr>
                    <w:t>劳动定员</w:t>
                  </w:r>
                </w:p>
              </w:tc>
              <w:tc>
                <w:tcPr>
                  <w:tcW w:w="1640" w:type="dxa"/>
                  <w:vAlign w:val="center"/>
                </w:tcPr>
                <w:p>
                  <w:pPr>
                    <w:jc w:val="center"/>
                    <w:rPr>
                      <w:szCs w:val="21"/>
                    </w:rPr>
                  </w:pPr>
                  <w:r>
                    <w:rPr>
                      <w:szCs w:val="21"/>
                    </w:rPr>
                    <w:t>人</w:t>
                  </w:r>
                </w:p>
              </w:tc>
              <w:tc>
                <w:tcPr>
                  <w:tcW w:w="1279" w:type="dxa"/>
                  <w:vAlign w:val="center"/>
                </w:tcPr>
                <w:p>
                  <w:pPr>
                    <w:jc w:val="center"/>
                    <w:rPr>
                      <w:rFonts w:hint="eastAsia" w:eastAsia="宋体"/>
                      <w:szCs w:val="21"/>
                      <w:lang w:val="en-US" w:eastAsia="zh-CN"/>
                    </w:rPr>
                  </w:pPr>
                  <w:r>
                    <w:rPr>
                      <w:rFonts w:hint="eastAsia"/>
                      <w:szCs w:val="21"/>
                      <w:lang w:val="en-US" w:eastAsia="zh-CN"/>
                    </w:rPr>
                    <w:t>30</w:t>
                  </w:r>
                </w:p>
              </w:tc>
              <w:tc>
                <w:tcPr>
                  <w:tcW w:w="1961"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450" w:type="dxa"/>
                  <w:vAlign w:val="center"/>
                </w:tcPr>
                <w:p>
                  <w:pPr>
                    <w:jc w:val="center"/>
                    <w:rPr>
                      <w:szCs w:val="21"/>
                    </w:rPr>
                  </w:pPr>
                  <w:r>
                    <w:rPr>
                      <w:szCs w:val="21"/>
                    </w:rPr>
                    <w:t>7</w:t>
                  </w:r>
                </w:p>
              </w:tc>
              <w:tc>
                <w:tcPr>
                  <w:tcW w:w="2488" w:type="dxa"/>
                  <w:vAlign w:val="center"/>
                </w:tcPr>
                <w:p>
                  <w:pPr>
                    <w:jc w:val="center"/>
                    <w:rPr>
                      <w:szCs w:val="21"/>
                    </w:rPr>
                  </w:pPr>
                  <w:r>
                    <w:rPr>
                      <w:szCs w:val="21"/>
                    </w:rPr>
                    <w:t>绿化面积</w:t>
                  </w:r>
                </w:p>
              </w:tc>
              <w:tc>
                <w:tcPr>
                  <w:tcW w:w="1640" w:type="dxa"/>
                  <w:vAlign w:val="center"/>
                </w:tcPr>
                <w:p>
                  <w:pPr>
                    <w:jc w:val="center"/>
                    <w:rPr>
                      <w:szCs w:val="21"/>
                    </w:rPr>
                  </w:pPr>
                  <w:r>
                    <w:rPr>
                      <w:szCs w:val="21"/>
                    </w:rPr>
                    <w:t>m</w:t>
                  </w:r>
                  <w:r>
                    <w:rPr>
                      <w:szCs w:val="21"/>
                      <w:vertAlign w:val="superscript"/>
                    </w:rPr>
                    <w:t>2</w:t>
                  </w:r>
                </w:p>
              </w:tc>
              <w:tc>
                <w:tcPr>
                  <w:tcW w:w="1279" w:type="dxa"/>
                  <w:vAlign w:val="center"/>
                </w:tcPr>
                <w:p>
                  <w:pPr>
                    <w:jc w:val="center"/>
                    <w:rPr>
                      <w:szCs w:val="21"/>
                    </w:rPr>
                  </w:pPr>
                  <w:r>
                    <w:rPr>
                      <w:szCs w:val="21"/>
                    </w:rPr>
                    <w:t>/</w:t>
                  </w:r>
                </w:p>
              </w:tc>
              <w:tc>
                <w:tcPr>
                  <w:tcW w:w="1961"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450" w:type="dxa"/>
                  <w:vAlign w:val="center"/>
                </w:tcPr>
                <w:p>
                  <w:pPr>
                    <w:jc w:val="center"/>
                    <w:rPr>
                      <w:szCs w:val="21"/>
                    </w:rPr>
                  </w:pPr>
                  <w:r>
                    <w:rPr>
                      <w:szCs w:val="21"/>
                    </w:rPr>
                    <w:t>8</w:t>
                  </w:r>
                </w:p>
              </w:tc>
              <w:tc>
                <w:tcPr>
                  <w:tcW w:w="2488" w:type="dxa"/>
                  <w:vAlign w:val="center"/>
                </w:tcPr>
                <w:p>
                  <w:pPr>
                    <w:jc w:val="center"/>
                    <w:rPr>
                      <w:szCs w:val="21"/>
                    </w:rPr>
                  </w:pPr>
                  <w:r>
                    <w:rPr>
                      <w:szCs w:val="21"/>
                    </w:rPr>
                    <w:t>绿化率</w:t>
                  </w:r>
                </w:p>
              </w:tc>
              <w:tc>
                <w:tcPr>
                  <w:tcW w:w="1640" w:type="dxa"/>
                  <w:vAlign w:val="center"/>
                </w:tcPr>
                <w:p>
                  <w:pPr>
                    <w:jc w:val="center"/>
                    <w:rPr>
                      <w:szCs w:val="21"/>
                    </w:rPr>
                  </w:pPr>
                  <w:r>
                    <w:rPr>
                      <w:szCs w:val="21"/>
                    </w:rPr>
                    <w:t>%</w:t>
                  </w:r>
                </w:p>
              </w:tc>
              <w:tc>
                <w:tcPr>
                  <w:tcW w:w="1279" w:type="dxa"/>
                  <w:vAlign w:val="center"/>
                </w:tcPr>
                <w:p>
                  <w:pPr>
                    <w:jc w:val="center"/>
                    <w:rPr>
                      <w:szCs w:val="21"/>
                    </w:rPr>
                  </w:pPr>
                  <w:r>
                    <w:rPr>
                      <w:szCs w:val="21"/>
                    </w:rPr>
                    <w:t>/</w:t>
                  </w:r>
                </w:p>
              </w:tc>
              <w:tc>
                <w:tcPr>
                  <w:tcW w:w="1961" w:type="dxa"/>
                  <w:vAlign w:val="center"/>
                </w:tcPr>
                <w:p>
                  <w:pPr>
                    <w:jc w:val="center"/>
                    <w:rPr>
                      <w:szCs w:val="21"/>
                    </w:rPr>
                  </w:pPr>
                </w:p>
              </w:tc>
            </w:tr>
          </w:tbl>
          <w:p>
            <w:pPr>
              <w:adjustRightInd w:val="0"/>
              <w:snapToGrid w:val="0"/>
              <w:spacing w:line="360" w:lineRule="auto"/>
              <w:ind w:firstLine="482" w:firstLineChars="200"/>
              <w:rPr>
                <w:b/>
                <w:sz w:val="24"/>
              </w:rPr>
            </w:pPr>
            <w:r>
              <w:rPr>
                <w:b/>
                <w:sz w:val="24"/>
              </w:rPr>
              <w:t>3、产品方案</w:t>
            </w:r>
          </w:p>
          <w:p>
            <w:pPr>
              <w:adjustRightInd w:val="0"/>
              <w:snapToGrid w:val="0"/>
              <w:spacing w:line="360" w:lineRule="auto"/>
              <w:ind w:firstLine="480" w:firstLineChars="200"/>
              <w:rPr>
                <w:sz w:val="24"/>
              </w:rPr>
            </w:pPr>
            <w:r>
              <w:rPr>
                <w:sz w:val="24"/>
              </w:rPr>
              <w:t>本项目产品方案详见下表。</w:t>
            </w:r>
          </w:p>
          <w:p>
            <w:pPr>
              <w:jc w:val="center"/>
              <w:rPr>
                <w:b/>
                <w:sz w:val="24"/>
              </w:rPr>
            </w:pPr>
            <w:r>
              <w:rPr>
                <w:b/>
                <w:szCs w:val="21"/>
              </w:rPr>
              <w:t>表1-3  产品</w:t>
            </w:r>
            <w:r>
              <w:rPr>
                <w:rFonts w:hint="eastAsia"/>
                <w:b/>
                <w:szCs w:val="21"/>
              </w:rPr>
              <w:t>方案</w:t>
            </w:r>
          </w:p>
          <w:tbl>
            <w:tblPr>
              <w:tblStyle w:val="38"/>
              <w:tblW w:w="88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4"/>
              <w:gridCol w:w="3568"/>
              <w:gridCol w:w="2049"/>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64" w:type="dxa"/>
                  <w:vAlign w:val="center"/>
                </w:tcPr>
                <w:p>
                  <w:pPr>
                    <w:jc w:val="center"/>
                  </w:pPr>
                  <w:r>
                    <w:t>序号</w:t>
                  </w:r>
                </w:p>
              </w:tc>
              <w:tc>
                <w:tcPr>
                  <w:tcW w:w="3568" w:type="dxa"/>
                  <w:vAlign w:val="center"/>
                </w:tcPr>
                <w:p>
                  <w:pPr>
                    <w:jc w:val="center"/>
                  </w:pPr>
                  <w:r>
                    <w:t>产品名称</w:t>
                  </w:r>
                </w:p>
              </w:tc>
              <w:tc>
                <w:tcPr>
                  <w:tcW w:w="2049" w:type="dxa"/>
                  <w:vAlign w:val="center"/>
                </w:tcPr>
                <w:p>
                  <w:pPr>
                    <w:jc w:val="center"/>
                  </w:pPr>
                  <w:r>
                    <w:t>产量（万</w:t>
                  </w:r>
                  <w:r>
                    <w:rPr>
                      <w:rFonts w:hint="eastAsia"/>
                    </w:rPr>
                    <w:t>把</w:t>
                  </w:r>
                  <w:r>
                    <w:t>/a）</w:t>
                  </w:r>
                </w:p>
              </w:tc>
              <w:tc>
                <w:tcPr>
                  <w:tcW w:w="2037" w:type="dxa"/>
                  <w:vAlign w:val="top"/>
                </w:tcPr>
                <w:p>
                  <w:pPr>
                    <w:jc w:val="center"/>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64" w:type="dxa"/>
                  <w:vAlign w:val="center"/>
                </w:tcPr>
                <w:p>
                  <w:pPr>
                    <w:spacing w:line="340" w:lineRule="exact"/>
                    <w:jc w:val="center"/>
                    <w:rPr>
                      <w:szCs w:val="21"/>
                    </w:rPr>
                  </w:pPr>
                  <w:r>
                    <w:rPr>
                      <w:szCs w:val="21"/>
                    </w:rPr>
                    <w:t>1</w:t>
                  </w:r>
                </w:p>
              </w:tc>
              <w:tc>
                <w:tcPr>
                  <w:tcW w:w="3568" w:type="dxa"/>
                  <w:vAlign w:val="center"/>
                </w:tcPr>
                <w:p>
                  <w:pPr>
                    <w:spacing w:line="340" w:lineRule="exact"/>
                    <w:jc w:val="center"/>
                    <w:rPr>
                      <w:szCs w:val="21"/>
                    </w:rPr>
                  </w:pPr>
                  <w:r>
                    <w:t>开口扳手8*10</w:t>
                  </w:r>
                </w:p>
              </w:tc>
              <w:tc>
                <w:tcPr>
                  <w:tcW w:w="2049" w:type="dxa"/>
                  <w:vMerge w:val="restart"/>
                  <w:vAlign w:val="center"/>
                </w:tcPr>
                <w:p>
                  <w:pPr>
                    <w:spacing w:line="340" w:lineRule="exact"/>
                    <w:jc w:val="center"/>
                    <w:rPr>
                      <w:rFonts w:hint="default" w:eastAsia="宋体"/>
                      <w:szCs w:val="21"/>
                      <w:lang w:val="en-US" w:eastAsia="zh-CN"/>
                    </w:rPr>
                  </w:pPr>
                  <w:r>
                    <w:rPr>
                      <w:rFonts w:hint="eastAsia"/>
                      <w:szCs w:val="21"/>
                      <w:lang w:val="en-US" w:eastAsia="zh-CN"/>
                    </w:rPr>
                    <w:t>180</w:t>
                  </w:r>
                </w:p>
              </w:tc>
              <w:tc>
                <w:tcPr>
                  <w:tcW w:w="2037" w:type="dxa"/>
                  <w:vAlign w:val="top"/>
                </w:tcPr>
                <w:p>
                  <w:pPr>
                    <w:spacing w:line="340" w:lineRule="exact"/>
                    <w:jc w:val="center"/>
                    <w:rPr>
                      <w:szCs w:val="21"/>
                    </w:rPr>
                  </w:pPr>
                  <w:r>
                    <w:rPr>
                      <w:rFonts w:hint="eastAsia"/>
                      <w:szCs w:val="21"/>
                    </w:rPr>
                    <w:t>单把</w:t>
                  </w:r>
                  <w:r>
                    <w:rPr>
                      <w:szCs w:val="21"/>
                    </w:rPr>
                    <w:t>重量</w:t>
                  </w:r>
                  <w:r>
                    <w:rPr>
                      <w:rFonts w:hint="eastAsia"/>
                      <w:szCs w:val="21"/>
                    </w:rPr>
                    <w:t>0.07</w:t>
                  </w:r>
                  <w:r>
                    <w:rPr>
                      <w:szCs w:val="21"/>
                    </w:rPr>
                    <w:t>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64" w:type="dxa"/>
                  <w:vAlign w:val="center"/>
                </w:tcPr>
                <w:p>
                  <w:pPr>
                    <w:spacing w:line="340" w:lineRule="exact"/>
                    <w:jc w:val="center"/>
                    <w:rPr>
                      <w:szCs w:val="21"/>
                    </w:rPr>
                  </w:pPr>
                  <w:r>
                    <w:rPr>
                      <w:szCs w:val="21"/>
                    </w:rPr>
                    <w:t>2</w:t>
                  </w:r>
                </w:p>
              </w:tc>
              <w:tc>
                <w:tcPr>
                  <w:tcW w:w="3568" w:type="dxa"/>
                  <w:vAlign w:val="center"/>
                </w:tcPr>
                <w:p>
                  <w:pPr>
                    <w:spacing w:line="340" w:lineRule="exact"/>
                    <w:jc w:val="center"/>
                    <w:rPr>
                      <w:szCs w:val="21"/>
                    </w:rPr>
                  </w:pPr>
                  <w:r>
                    <w:t>开口扳手10*12</w:t>
                  </w:r>
                </w:p>
              </w:tc>
              <w:tc>
                <w:tcPr>
                  <w:tcW w:w="2049" w:type="dxa"/>
                  <w:vMerge w:val="continue"/>
                  <w:vAlign w:val="center"/>
                </w:tcPr>
                <w:p>
                  <w:pPr>
                    <w:spacing w:line="340" w:lineRule="exact"/>
                    <w:jc w:val="center"/>
                    <w:rPr>
                      <w:szCs w:val="21"/>
                    </w:rPr>
                  </w:pPr>
                </w:p>
              </w:tc>
              <w:tc>
                <w:tcPr>
                  <w:tcW w:w="2037" w:type="dxa"/>
                  <w:vAlign w:val="top"/>
                </w:tcPr>
                <w:p>
                  <w:pPr>
                    <w:spacing w:line="340" w:lineRule="exact"/>
                    <w:jc w:val="center"/>
                    <w:rPr>
                      <w:szCs w:val="21"/>
                    </w:rPr>
                  </w:pPr>
                  <w:r>
                    <w:rPr>
                      <w:rFonts w:hint="eastAsia"/>
                      <w:szCs w:val="21"/>
                    </w:rPr>
                    <w:t>单把</w:t>
                  </w:r>
                  <w:r>
                    <w:rPr>
                      <w:szCs w:val="21"/>
                    </w:rPr>
                    <w:t>重量</w:t>
                  </w:r>
                  <w:r>
                    <w:rPr>
                      <w:rFonts w:hint="eastAsia"/>
                      <w:szCs w:val="21"/>
                    </w:rPr>
                    <w:t>0.09</w:t>
                  </w:r>
                  <w:r>
                    <w:rPr>
                      <w:szCs w:val="21"/>
                    </w:rPr>
                    <w:t>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64" w:type="dxa"/>
                  <w:vAlign w:val="center"/>
                </w:tcPr>
                <w:p>
                  <w:pPr>
                    <w:spacing w:line="340" w:lineRule="exact"/>
                    <w:jc w:val="center"/>
                    <w:rPr>
                      <w:szCs w:val="21"/>
                    </w:rPr>
                  </w:pPr>
                  <w:r>
                    <w:rPr>
                      <w:rFonts w:hint="eastAsia"/>
                      <w:szCs w:val="21"/>
                    </w:rPr>
                    <w:t>3</w:t>
                  </w:r>
                </w:p>
              </w:tc>
              <w:tc>
                <w:tcPr>
                  <w:tcW w:w="3568" w:type="dxa"/>
                  <w:vAlign w:val="center"/>
                </w:tcPr>
                <w:p>
                  <w:pPr>
                    <w:spacing w:line="340" w:lineRule="exact"/>
                    <w:jc w:val="center"/>
                    <w:rPr>
                      <w:szCs w:val="21"/>
                    </w:rPr>
                  </w:pPr>
                  <w:r>
                    <w:t>开口扳手12*14</w:t>
                  </w:r>
                </w:p>
              </w:tc>
              <w:tc>
                <w:tcPr>
                  <w:tcW w:w="2049" w:type="dxa"/>
                  <w:vMerge w:val="continue"/>
                  <w:vAlign w:val="center"/>
                </w:tcPr>
                <w:p>
                  <w:pPr>
                    <w:spacing w:line="340" w:lineRule="exact"/>
                    <w:jc w:val="center"/>
                    <w:rPr>
                      <w:szCs w:val="21"/>
                    </w:rPr>
                  </w:pPr>
                </w:p>
              </w:tc>
              <w:tc>
                <w:tcPr>
                  <w:tcW w:w="2037" w:type="dxa"/>
                  <w:vAlign w:val="top"/>
                </w:tcPr>
                <w:p>
                  <w:pPr>
                    <w:spacing w:line="340" w:lineRule="exact"/>
                    <w:jc w:val="center"/>
                    <w:rPr>
                      <w:szCs w:val="21"/>
                    </w:rPr>
                  </w:pPr>
                  <w:r>
                    <w:rPr>
                      <w:rFonts w:hint="eastAsia"/>
                      <w:szCs w:val="21"/>
                    </w:rPr>
                    <w:t>单把</w:t>
                  </w:r>
                  <w:r>
                    <w:rPr>
                      <w:szCs w:val="21"/>
                    </w:rPr>
                    <w:t>重量</w:t>
                  </w:r>
                  <w:r>
                    <w:rPr>
                      <w:rFonts w:hint="eastAsia"/>
                      <w:szCs w:val="21"/>
                    </w:rPr>
                    <w:t>0.13</w:t>
                  </w:r>
                  <w:r>
                    <w:rPr>
                      <w:szCs w:val="21"/>
                    </w:rPr>
                    <w:t>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64" w:type="dxa"/>
                  <w:vAlign w:val="center"/>
                </w:tcPr>
                <w:p>
                  <w:pPr>
                    <w:spacing w:line="340" w:lineRule="exact"/>
                    <w:jc w:val="center"/>
                    <w:rPr>
                      <w:szCs w:val="21"/>
                    </w:rPr>
                  </w:pPr>
                  <w:r>
                    <w:rPr>
                      <w:rFonts w:hint="eastAsia"/>
                      <w:szCs w:val="21"/>
                    </w:rPr>
                    <w:t>4</w:t>
                  </w:r>
                </w:p>
              </w:tc>
              <w:tc>
                <w:tcPr>
                  <w:tcW w:w="3568" w:type="dxa"/>
                  <w:vAlign w:val="center"/>
                </w:tcPr>
                <w:p>
                  <w:pPr>
                    <w:spacing w:line="340" w:lineRule="exact"/>
                    <w:jc w:val="center"/>
                    <w:rPr>
                      <w:szCs w:val="21"/>
                    </w:rPr>
                  </w:pPr>
                  <w:r>
                    <w:rPr>
                      <w:rFonts w:hint="eastAsia"/>
                    </w:rPr>
                    <w:t>梅花</w:t>
                  </w:r>
                  <w:r>
                    <w:t>扳手8*10</w:t>
                  </w:r>
                </w:p>
              </w:tc>
              <w:tc>
                <w:tcPr>
                  <w:tcW w:w="2049" w:type="dxa"/>
                  <w:vMerge w:val="continue"/>
                  <w:vAlign w:val="center"/>
                </w:tcPr>
                <w:p>
                  <w:pPr>
                    <w:spacing w:line="340" w:lineRule="exact"/>
                    <w:jc w:val="center"/>
                    <w:rPr>
                      <w:szCs w:val="21"/>
                    </w:rPr>
                  </w:pPr>
                </w:p>
              </w:tc>
              <w:tc>
                <w:tcPr>
                  <w:tcW w:w="2037" w:type="dxa"/>
                  <w:vAlign w:val="top"/>
                </w:tcPr>
                <w:p>
                  <w:pPr>
                    <w:spacing w:line="340" w:lineRule="exact"/>
                    <w:jc w:val="center"/>
                    <w:rPr>
                      <w:szCs w:val="21"/>
                    </w:rPr>
                  </w:pPr>
                  <w:r>
                    <w:rPr>
                      <w:rFonts w:hint="eastAsia"/>
                      <w:szCs w:val="21"/>
                    </w:rPr>
                    <w:t>单把</w:t>
                  </w:r>
                  <w:r>
                    <w:rPr>
                      <w:szCs w:val="21"/>
                    </w:rPr>
                    <w:t>重量</w:t>
                  </w:r>
                  <w:r>
                    <w:rPr>
                      <w:rFonts w:hint="eastAsia"/>
                      <w:szCs w:val="21"/>
                    </w:rPr>
                    <w:t>0.07</w:t>
                  </w:r>
                  <w:r>
                    <w:rPr>
                      <w:szCs w:val="21"/>
                    </w:rPr>
                    <w:t>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64" w:type="dxa"/>
                  <w:vAlign w:val="center"/>
                </w:tcPr>
                <w:p>
                  <w:pPr>
                    <w:spacing w:line="340" w:lineRule="exact"/>
                    <w:jc w:val="center"/>
                    <w:rPr>
                      <w:szCs w:val="21"/>
                    </w:rPr>
                  </w:pPr>
                  <w:r>
                    <w:rPr>
                      <w:rFonts w:hint="eastAsia"/>
                      <w:szCs w:val="21"/>
                    </w:rPr>
                    <w:t>5</w:t>
                  </w:r>
                </w:p>
              </w:tc>
              <w:tc>
                <w:tcPr>
                  <w:tcW w:w="3568" w:type="dxa"/>
                  <w:vAlign w:val="center"/>
                </w:tcPr>
                <w:p>
                  <w:pPr>
                    <w:spacing w:line="340" w:lineRule="exact"/>
                    <w:jc w:val="center"/>
                    <w:rPr>
                      <w:szCs w:val="21"/>
                    </w:rPr>
                  </w:pPr>
                  <w:r>
                    <w:rPr>
                      <w:rFonts w:hint="eastAsia"/>
                    </w:rPr>
                    <w:t>梅花</w:t>
                  </w:r>
                  <w:r>
                    <w:t>扳手10*12</w:t>
                  </w:r>
                </w:p>
              </w:tc>
              <w:tc>
                <w:tcPr>
                  <w:tcW w:w="2049" w:type="dxa"/>
                  <w:vMerge w:val="continue"/>
                  <w:vAlign w:val="center"/>
                </w:tcPr>
                <w:p>
                  <w:pPr>
                    <w:spacing w:line="340" w:lineRule="exact"/>
                    <w:jc w:val="center"/>
                    <w:rPr>
                      <w:szCs w:val="21"/>
                    </w:rPr>
                  </w:pPr>
                </w:p>
              </w:tc>
              <w:tc>
                <w:tcPr>
                  <w:tcW w:w="2037" w:type="dxa"/>
                  <w:vAlign w:val="top"/>
                </w:tcPr>
                <w:p>
                  <w:pPr>
                    <w:spacing w:line="340" w:lineRule="exact"/>
                    <w:jc w:val="center"/>
                    <w:rPr>
                      <w:szCs w:val="21"/>
                    </w:rPr>
                  </w:pPr>
                  <w:r>
                    <w:rPr>
                      <w:rFonts w:hint="eastAsia"/>
                      <w:szCs w:val="21"/>
                    </w:rPr>
                    <w:t>单把</w:t>
                  </w:r>
                  <w:r>
                    <w:rPr>
                      <w:szCs w:val="21"/>
                    </w:rPr>
                    <w:t>重量</w:t>
                  </w:r>
                  <w:r>
                    <w:rPr>
                      <w:rFonts w:hint="eastAsia"/>
                      <w:szCs w:val="21"/>
                    </w:rPr>
                    <w:t>0.09</w:t>
                  </w:r>
                  <w:r>
                    <w:rPr>
                      <w:szCs w:val="21"/>
                    </w:rPr>
                    <w:t>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64" w:type="dxa"/>
                  <w:vAlign w:val="center"/>
                </w:tcPr>
                <w:p>
                  <w:pPr>
                    <w:spacing w:line="340" w:lineRule="exact"/>
                    <w:jc w:val="center"/>
                    <w:rPr>
                      <w:szCs w:val="21"/>
                    </w:rPr>
                  </w:pPr>
                  <w:r>
                    <w:rPr>
                      <w:rFonts w:hint="eastAsia"/>
                      <w:szCs w:val="21"/>
                    </w:rPr>
                    <w:t>6</w:t>
                  </w:r>
                </w:p>
              </w:tc>
              <w:tc>
                <w:tcPr>
                  <w:tcW w:w="3568" w:type="dxa"/>
                  <w:vAlign w:val="center"/>
                </w:tcPr>
                <w:p>
                  <w:pPr>
                    <w:spacing w:line="340" w:lineRule="exact"/>
                    <w:jc w:val="center"/>
                    <w:rPr>
                      <w:szCs w:val="21"/>
                    </w:rPr>
                  </w:pPr>
                  <w:r>
                    <w:rPr>
                      <w:rFonts w:hint="eastAsia"/>
                    </w:rPr>
                    <w:t>梅花</w:t>
                  </w:r>
                  <w:r>
                    <w:t>扳手12*14</w:t>
                  </w:r>
                </w:p>
              </w:tc>
              <w:tc>
                <w:tcPr>
                  <w:tcW w:w="2049" w:type="dxa"/>
                  <w:vMerge w:val="continue"/>
                  <w:vAlign w:val="center"/>
                </w:tcPr>
                <w:p>
                  <w:pPr>
                    <w:spacing w:line="340" w:lineRule="exact"/>
                    <w:jc w:val="center"/>
                    <w:rPr>
                      <w:szCs w:val="21"/>
                    </w:rPr>
                  </w:pPr>
                </w:p>
              </w:tc>
              <w:tc>
                <w:tcPr>
                  <w:tcW w:w="2037" w:type="dxa"/>
                  <w:vAlign w:val="top"/>
                </w:tcPr>
                <w:p>
                  <w:pPr>
                    <w:spacing w:line="340" w:lineRule="exact"/>
                    <w:jc w:val="center"/>
                    <w:rPr>
                      <w:szCs w:val="21"/>
                    </w:rPr>
                  </w:pPr>
                  <w:r>
                    <w:rPr>
                      <w:rFonts w:hint="eastAsia"/>
                      <w:szCs w:val="21"/>
                    </w:rPr>
                    <w:t>单把</w:t>
                  </w:r>
                  <w:r>
                    <w:rPr>
                      <w:szCs w:val="21"/>
                    </w:rPr>
                    <w:t>重量</w:t>
                  </w:r>
                  <w:r>
                    <w:rPr>
                      <w:rFonts w:hint="eastAsia"/>
                      <w:szCs w:val="21"/>
                    </w:rPr>
                    <w:t>0.13</w:t>
                  </w:r>
                  <w:r>
                    <w:rPr>
                      <w:szCs w:val="21"/>
                    </w:rPr>
                    <w:t>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64" w:type="dxa"/>
                  <w:vAlign w:val="center"/>
                </w:tcPr>
                <w:p>
                  <w:pPr>
                    <w:spacing w:line="340" w:lineRule="exact"/>
                    <w:jc w:val="center"/>
                    <w:rPr>
                      <w:rFonts w:hint="eastAsia" w:eastAsia="宋体"/>
                      <w:szCs w:val="21"/>
                      <w:lang w:val="en-US" w:eastAsia="zh-CN"/>
                    </w:rPr>
                  </w:pPr>
                  <w:r>
                    <w:rPr>
                      <w:rFonts w:hint="eastAsia"/>
                      <w:szCs w:val="21"/>
                      <w:lang w:val="en-US" w:eastAsia="zh-CN"/>
                    </w:rPr>
                    <w:t>7</w:t>
                  </w:r>
                </w:p>
              </w:tc>
              <w:tc>
                <w:tcPr>
                  <w:tcW w:w="3568" w:type="dxa"/>
                  <w:vAlign w:val="center"/>
                </w:tcPr>
                <w:p>
                  <w:pPr>
                    <w:spacing w:line="340" w:lineRule="exact"/>
                    <w:jc w:val="center"/>
                    <w:rPr>
                      <w:rFonts w:hint="default" w:eastAsia="宋体"/>
                      <w:lang w:val="en-US" w:eastAsia="zh-CN"/>
                    </w:rPr>
                  </w:pPr>
                  <w:r>
                    <w:rPr>
                      <w:rFonts w:hint="eastAsia"/>
                      <w:lang w:val="en-US" w:eastAsia="zh-CN"/>
                    </w:rPr>
                    <w:t>其他型号扳手</w:t>
                  </w:r>
                </w:p>
              </w:tc>
              <w:tc>
                <w:tcPr>
                  <w:tcW w:w="2049" w:type="dxa"/>
                  <w:vMerge w:val="continue"/>
                  <w:vAlign w:val="center"/>
                </w:tcPr>
                <w:p>
                  <w:pPr>
                    <w:spacing w:line="340" w:lineRule="exact"/>
                    <w:jc w:val="center"/>
                    <w:rPr>
                      <w:szCs w:val="21"/>
                    </w:rPr>
                  </w:pPr>
                </w:p>
              </w:tc>
              <w:tc>
                <w:tcPr>
                  <w:tcW w:w="2037" w:type="dxa"/>
                  <w:vAlign w:val="top"/>
                </w:tcPr>
                <w:p>
                  <w:pPr>
                    <w:spacing w:line="340" w:lineRule="exact"/>
                    <w:jc w:val="center"/>
                    <w:rPr>
                      <w:rFonts w:hint="eastAsia" w:eastAsia="宋体"/>
                      <w:szCs w:val="21"/>
                      <w:lang w:val="en-US" w:eastAsia="zh-CN"/>
                    </w:rPr>
                  </w:pPr>
                  <w:r>
                    <w:rPr>
                      <w:rFonts w:hint="eastAsia"/>
                      <w:szCs w:val="21"/>
                      <w:lang w:val="en-US" w:eastAsia="zh-CN"/>
                    </w:rPr>
                    <w:t>/</w:t>
                  </w:r>
                </w:p>
              </w:tc>
            </w:tr>
          </w:tbl>
          <w:p>
            <w:pPr>
              <w:adjustRightInd w:val="0"/>
              <w:snapToGrid w:val="0"/>
              <w:spacing w:line="360" w:lineRule="auto"/>
              <w:ind w:firstLine="482" w:firstLineChars="200"/>
              <w:rPr>
                <w:b/>
                <w:sz w:val="24"/>
              </w:rPr>
            </w:pPr>
            <w:r>
              <w:rPr>
                <w:b/>
                <w:sz w:val="24"/>
              </w:rPr>
              <w:t>4、原辅材料消耗</w:t>
            </w:r>
          </w:p>
          <w:p>
            <w:pPr>
              <w:adjustRightInd w:val="0"/>
              <w:snapToGrid w:val="0"/>
              <w:spacing w:line="360" w:lineRule="auto"/>
              <w:ind w:firstLine="480" w:firstLineChars="200"/>
              <w:rPr>
                <w:sz w:val="24"/>
              </w:rPr>
            </w:pPr>
            <w:r>
              <w:rPr>
                <w:sz w:val="24"/>
              </w:rPr>
              <w:t>本项目为新建项目，其原辅材料消耗情况见下表。</w:t>
            </w:r>
          </w:p>
          <w:p>
            <w:pPr>
              <w:jc w:val="center"/>
              <w:rPr>
                <w:b/>
                <w:szCs w:val="21"/>
              </w:rPr>
            </w:pPr>
            <w:r>
              <w:rPr>
                <w:b/>
                <w:szCs w:val="21"/>
              </w:rPr>
              <w:t>表1-4  原辅材料消耗情况一览表</w:t>
            </w:r>
          </w:p>
          <w:tbl>
            <w:tblPr>
              <w:tblStyle w:val="38"/>
              <w:tblW w:w="88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276"/>
              <w:gridCol w:w="1134"/>
              <w:gridCol w:w="1275"/>
              <w:gridCol w:w="1186"/>
              <w:gridCol w:w="1224"/>
              <w:gridCol w:w="2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3" w:type="dxa"/>
                  <w:vAlign w:val="center"/>
                </w:tcPr>
                <w:p>
                  <w:pPr>
                    <w:jc w:val="center"/>
                    <w:rPr>
                      <w:b/>
                      <w:szCs w:val="21"/>
                    </w:rPr>
                  </w:pPr>
                  <w:r>
                    <w:rPr>
                      <w:b/>
                      <w:szCs w:val="21"/>
                    </w:rPr>
                    <w:t>序号</w:t>
                  </w:r>
                </w:p>
              </w:tc>
              <w:tc>
                <w:tcPr>
                  <w:tcW w:w="1276" w:type="dxa"/>
                  <w:vAlign w:val="center"/>
                </w:tcPr>
                <w:p>
                  <w:pPr>
                    <w:jc w:val="center"/>
                    <w:rPr>
                      <w:b/>
                      <w:szCs w:val="21"/>
                    </w:rPr>
                  </w:pPr>
                  <w:r>
                    <w:rPr>
                      <w:b/>
                      <w:szCs w:val="21"/>
                    </w:rPr>
                    <w:t>项目材料</w:t>
                  </w:r>
                </w:p>
              </w:tc>
              <w:tc>
                <w:tcPr>
                  <w:tcW w:w="1134" w:type="dxa"/>
                  <w:vAlign w:val="center"/>
                </w:tcPr>
                <w:p>
                  <w:pPr>
                    <w:jc w:val="center"/>
                    <w:rPr>
                      <w:b/>
                      <w:szCs w:val="21"/>
                    </w:rPr>
                  </w:pPr>
                  <w:r>
                    <w:rPr>
                      <w:b/>
                      <w:szCs w:val="21"/>
                    </w:rPr>
                    <w:t>单位</w:t>
                  </w:r>
                </w:p>
              </w:tc>
              <w:tc>
                <w:tcPr>
                  <w:tcW w:w="1275" w:type="dxa"/>
                  <w:vAlign w:val="center"/>
                </w:tcPr>
                <w:p>
                  <w:pPr>
                    <w:jc w:val="center"/>
                    <w:rPr>
                      <w:b/>
                      <w:szCs w:val="21"/>
                    </w:rPr>
                  </w:pPr>
                  <w:r>
                    <w:rPr>
                      <w:b/>
                      <w:szCs w:val="21"/>
                    </w:rPr>
                    <w:t>用量</w:t>
                  </w:r>
                </w:p>
              </w:tc>
              <w:tc>
                <w:tcPr>
                  <w:tcW w:w="1186" w:type="dxa"/>
                  <w:vAlign w:val="center"/>
                </w:tcPr>
                <w:p>
                  <w:pPr>
                    <w:jc w:val="center"/>
                    <w:rPr>
                      <w:b/>
                      <w:szCs w:val="21"/>
                    </w:rPr>
                  </w:pPr>
                  <w:r>
                    <w:rPr>
                      <w:b/>
                      <w:szCs w:val="21"/>
                    </w:rPr>
                    <w:t>储存量</w:t>
                  </w:r>
                </w:p>
              </w:tc>
              <w:tc>
                <w:tcPr>
                  <w:tcW w:w="1224" w:type="dxa"/>
                  <w:vAlign w:val="center"/>
                </w:tcPr>
                <w:p>
                  <w:pPr>
                    <w:jc w:val="center"/>
                    <w:rPr>
                      <w:b/>
                      <w:szCs w:val="21"/>
                    </w:rPr>
                  </w:pPr>
                  <w:r>
                    <w:rPr>
                      <w:b/>
                      <w:szCs w:val="21"/>
                    </w:rPr>
                    <w:t>来源</w:t>
                  </w:r>
                </w:p>
              </w:tc>
              <w:tc>
                <w:tcPr>
                  <w:tcW w:w="2010" w:type="dxa"/>
                  <w:vAlign w:val="center"/>
                </w:tcPr>
                <w:p>
                  <w:pPr>
                    <w:jc w:val="center"/>
                    <w:rPr>
                      <w:b/>
                      <w:szCs w:val="21"/>
                    </w:rPr>
                  </w:pPr>
                  <w:r>
                    <w:rPr>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3" w:type="dxa"/>
                  <w:vAlign w:val="center"/>
                </w:tcPr>
                <w:p>
                  <w:pPr>
                    <w:jc w:val="center"/>
                    <w:rPr>
                      <w:szCs w:val="21"/>
                    </w:rPr>
                  </w:pPr>
                  <w:r>
                    <w:rPr>
                      <w:szCs w:val="21"/>
                    </w:rPr>
                    <w:t>1</w:t>
                  </w:r>
                </w:p>
              </w:tc>
              <w:tc>
                <w:tcPr>
                  <w:tcW w:w="1276" w:type="dxa"/>
                  <w:vAlign w:val="center"/>
                </w:tcPr>
                <w:p>
                  <w:pPr>
                    <w:jc w:val="center"/>
                    <w:rPr>
                      <w:rFonts w:hint="eastAsia" w:eastAsia="宋体"/>
                      <w:szCs w:val="21"/>
                      <w:lang w:eastAsia="zh-CN"/>
                    </w:rPr>
                  </w:pPr>
                  <w:r>
                    <w:rPr>
                      <w:rFonts w:hint="eastAsia"/>
                      <w:szCs w:val="21"/>
                      <w:lang w:eastAsia="zh-CN"/>
                    </w:rPr>
                    <w:t>钢材</w:t>
                  </w:r>
                </w:p>
              </w:tc>
              <w:tc>
                <w:tcPr>
                  <w:tcW w:w="1134" w:type="dxa"/>
                  <w:vAlign w:val="center"/>
                </w:tcPr>
                <w:p>
                  <w:pPr>
                    <w:jc w:val="center"/>
                    <w:rPr>
                      <w:szCs w:val="21"/>
                    </w:rPr>
                  </w:pPr>
                  <w:r>
                    <w:rPr>
                      <w:szCs w:val="21"/>
                    </w:rPr>
                    <w:t>t/a</w:t>
                  </w:r>
                </w:p>
              </w:tc>
              <w:tc>
                <w:tcPr>
                  <w:tcW w:w="1275" w:type="dxa"/>
                  <w:vAlign w:val="center"/>
                </w:tcPr>
                <w:p>
                  <w:pPr>
                    <w:jc w:val="center"/>
                    <w:rPr>
                      <w:rFonts w:hint="eastAsia" w:eastAsia="宋体"/>
                      <w:szCs w:val="21"/>
                      <w:lang w:val="en-US" w:eastAsia="zh-CN"/>
                    </w:rPr>
                  </w:pPr>
                  <w:r>
                    <w:rPr>
                      <w:rFonts w:hint="eastAsia"/>
                      <w:szCs w:val="21"/>
                      <w:lang w:val="en-US" w:eastAsia="zh-CN"/>
                    </w:rPr>
                    <w:t>220</w:t>
                  </w:r>
                </w:p>
              </w:tc>
              <w:tc>
                <w:tcPr>
                  <w:tcW w:w="1186" w:type="dxa"/>
                  <w:vAlign w:val="center"/>
                </w:tcPr>
                <w:p>
                  <w:pPr>
                    <w:jc w:val="center"/>
                    <w:rPr>
                      <w:szCs w:val="21"/>
                    </w:rPr>
                  </w:pPr>
                  <w:r>
                    <w:rPr>
                      <w:rFonts w:hint="eastAsia"/>
                      <w:szCs w:val="21"/>
                    </w:rPr>
                    <w:t>50</w:t>
                  </w:r>
                </w:p>
              </w:tc>
              <w:tc>
                <w:tcPr>
                  <w:tcW w:w="1224" w:type="dxa"/>
                  <w:vAlign w:val="center"/>
                </w:tcPr>
                <w:p>
                  <w:pPr>
                    <w:jc w:val="center"/>
                    <w:rPr>
                      <w:szCs w:val="21"/>
                    </w:rPr>
                  </w:pPr>
                  <w:r>
                    <w:rPr>
                      <w:szCs w:val="21"/>
                    </w:rPr>
                    <w:t>外购</w:t>
                  </w:r>
                </w:p>
              </w:tc>
              <w:tc>
                <w:tcPr>
                  <w:tcW w:w="2010"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3" w:type="dxa"/>
                  <w:vAlign w:val="center"/>
                </w:tcPr>
                <w:p>
                  <w:pPr>
                    <w:jc w:val="center"/>
                    <w:rPr>
                      <w:rFonts w:hint="eastAsia" w:eastAsia="宋体"/>
                      <w:szCs w:val="21"/>
                      <w:lang w:eastAsia="zh-CN"/>
                    </w:rPr>
                  </w:pPr>
                  <w:r>
                    <w:rPr>
                      <w:rFonts w:hint="eastAsia"/>
                      <w:szCs w:val="21"/>
                      <w:lang w:val="en-US" w:eastAsia="zh-CN"/>
                    </w:rPr>
                    <w:t>2</w:t>
                  </w:r>
                </w:p>
              </w:tc>
              <w:tc>
                <w:tcPr>
                  <w:tcW w:w="1276" w:type="dxa"/>
                  <w:vAlign w:val="center"/>
                </w:tcPr>
                <w:p>
                  <w:pPr>
                    <w:jc w:val="center"/>
                    <w:rPr>
                      <w:szCs w:val="21"/>
                    </w:rPr>
                  </w:pPr>
                  <w:r>
                    <w:rPr>
                      <w:szCs w:val="21"/>
                    </w:rPr>
                    <w:t>模具</w:t>
                  </w:r>
                </w:p>
              </w:tc>
              <w:tc>
                <w:tcPr>
                  <w:tcW w:w="1134" w:type="dxa"/>
                  <w:vAlign w:val="center"/>
                </w:tcPr>
                <w:p>
                  <w:pPr>
                    <w:jc w:val="center"/>
                    <w:rPr>
                      <w:szCs w:val="21"/>
                    </w:rPr>
                  </w:pPr>
                  <w:r>
                    <w:rPr>
                      <w:rFonts w:hint="eastAsia"/>
                      <w:szCs w:val="21"/>
                    </w:rPr>
                    <w:t>套/</w:t>
                  </w:r>
                  <w:r>
                    <w:rPr>
                      <w:szCs w:val="21"/>
                    </w:rPr>
                    <w:t>a</w:t>
                  </w:r>
                </w:p>
              </w:tc>
              <w:tc>
                <w:tcPr>
                  <w:tcW w:w="1275" w:type="dxa"/>
                  <w:vAlign w:val="center"/>
                </w:tcPr>
                <w:p>
                  <w:pPr>
                    <w:jc w:val="center"/>
                    <w:rPr>
                      <w:szCs w:val="21"/>
                    </w:rPr>
                  </w:pPr>
                  <w:r>
                    <w:rPr>
                      <w:szCs w:val="21"/>
                    </w:rPr>
                    <w:t>20</w:t>
                  </w:r>
                </w:p>
              </w:tc>
              <w:tc>
                <w:tcPr>
                  <w:tcW w:w="1186" w:type="dxa"/>
                  <w:vAlign w:val="center"/>
                </w:tcPr>
                <w:p>
                  <w:pPr>
                    <w:jc w:val="center"/>
                    <w:rPr>
                      <w:szCs w:val="21"/>
                    </w:rPr>
                  </w:pPr>
                  <w:r>
                    <w:rPr>
                      <w:rFonts w:hint="eastAsia"/>
                      <w:szCs w:val="21"/>
                    </w:rPr>
                    <w:t>2</w:t>
                  </w:r>
                </w:p>
              </w:tc>
              <w:tc>
                <w:tcPr>
                  <w:tcW w:w="1224" w:type="dxa"/>
                  <w:vAlign w:val="center"/>
                </w:tcPr>
                <w:p>
                  <w:pPr>
                    <w:jc w:val="center"/>
                    <w:rPr>
                      <w:szCs w:val="21"/>
                    </w:rPr>
                  </w:pPr>
                  <w:r>
                    <w:rPr>
                      <w:rFonts w:hint="eastAsia"/>
                      <w:szCs w:val="21"/>
                    </w:rPr>
                    <w:t>外购</w:t>
                  </w:r>
                </w:p>
              </w:tc>
              <w:tc>
                <w:tcPr>
                  <w:tcW w:w="2010"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3" w:type="dxa"/>
                  <w:vAlign w:val="center"/>
                </w:tcPr>
                <w:p>
                  <w:pPr>
                    <w:jc w:val="center"/>
                    <w:rPr>
                      <w:rFonts w:hint="eastAsia" w:eastAsia="宋体"/>
                      <w:szCs w:val="21"/>
                      <w:lang w:eastAsia="zh-CN"/>
                    </w:rPr>
                  </w:pPr>
                  <w:r>
                    <w:rPr>
                      <w:rFonts w:hint="eastAsia"/>
                      <w:szCs w:val="21"/>
                      <w:lang w:val="en-US" w:eastAsia="zh-CN"/>
                    </w:rPr>
                    <w:t>3</w:t>
                  </w:r>
                </w:p>
              </w:tc>
              <w:tc>
                <w:tcPr>
                  <w:tcW w:w="1276" w:type="dxa"/>
                  <w:vAlign w:val="center"/>
                </w:tcPr>
                <w:p>
                  <w:pPr>
                    <w:jc w:val="center"/>
                    <w:rPr>
                      <w:szCs w:val="21"/>
                    </w:rPr>
                  </w:pPr>
                  <w:r>
                    <w:rPr>
                      <w:rFonts w:hint="eastAsia"/>
                      <w:szCs w:val="21"/>
                    </w:rPr>
                    <w:t>研磨石头</w:t>
                  </w:r>
                </w:p>
              </w:tc>
              <w:tc>
                <w:tcPr>
                  <w:tcW w:w="1134" w:type="dxa"/>
                  <w:vAlign w:val="center"/>
                </w:tcPr>
                <w:p>
                  <w:pPr>
                    <w:jc w:val="center"/>
                    <w:rPr>
                      <w:szCs w:val="21"/>
                    </w:rPr>
                  </w:pPr>
                  <w:r>
                    <w:rPr>
                      <w:rFonts w:hint="eastAsia"/>
                      <w:szCs w:val="21"/>
                    </w:rPr>
                    <w:t>t/a</w:t>
                  </w:r>
                </w:p>
              </w:tc>
              <w:tc>
                <w:tcPr>
                  <w:tcW w:w="1275" w:type="dxa"/>
                  <w:vAlign w:val="center"/>
                </w:tcPr>
                <w:p>
                  <w:pPr>
                    <w:jc w:val="center"/>
                    <w:rPr>
                      <w:szCs w:val="21"/>
                    </w:rPr>
                  </w:pPr>
                  <w:r>
                    <w:rPr>
                      <w:rFonts w:hint="eastAsia"/>
                      <w:szCs w:val="21"/>
                    </w:rPr>
                    <w:t>2</w:t>
                  </w:r>
                </w:p>
              </w:tc>
              <w:tc>
                <w:tcPr>
                  <w:tcW w:w="1186" w:type="dxa"/>
                  <w:vAlign w:val="center"/>
                </w:tcPr>
                <w:p>
                  <w:pPr>
                    <w:jc w:val="center"/>
                    <w:rPr>
                      <w:szCs w:val="21"/>
                    </w:rPr>
                  </w:pPr>
                  <w:r>
                    <w:rPr>
                      <w:rFonts w:hint="eastAsia"/>
                      <w:szCs w:val="21"/>
                    </w:rPr>
                    <w:t>2</w:t>
                  </w:r>
                </w:p>
              </w:tc>
              <w:tc>
                <w:tcPr>
                  <w:tcW w:w="1224" w:type="dxa"/>
                  <w:vAlign w:val="center"/>
                </w:tcPr>
                <w:p>
                  <w:pPr>
                    <w:jc w:val="center"/>
                    <w:rPr>
                      <w:szCs w:val="21"/>
                    </w:rPr>
                  </w:pPr>
                  <w:r>
                    <w:rPr>
                      <w:rFonts w:hint="eastAsia"/>
                      <w:szCs w:val="21"/>
                    </w:rPr>
                    <w:t>外购</w:t>
                  </w:r>
                </w:p>
              </w:tc>
              <w:tc>
                <w:tcPr>
                  <w:tcW w:w="2010"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3" w:type="dxa"/>
                  <w:vAlign w:val="center"/>
                </w:tcPr>
                <w:p>
                  <w:pPr>
                    <w:jc w:val="center"/>
                    <w:rPr>
                      <w:rFonts w:hint="eastAsia" w:eastAsia="宋体"/>
                      <w:szCs w:val="21"/>
                      <w:lang w:eastAsia="zh-CN"/>
                    </w:rPr>
                  </w:pPr>
                  <w:r>
                    <w:rPr>
                      <w:rFonts w:hint="eastAsia"/>
                      <w:szCs w:val="21"/>
                      <w:lang w:val="en-US" w:eastAsia="zh-CN"/>
                    </w:rPr>
                    <w:t>4</w:t>
                  </w:r>
                </w:p>
              </w:tc>
              <w:tc>
                <w:tcPr>
                  <w:tcW w:w="1276" w:type="dxa"/>
                  <w:vAlign w:val="center"/>
                </w:tcPr>
                <w:p>
                  <w:pPr>
                    <w:jc w:val="center"/>
                    <w:rPr>
                      <w:szCs w:val="21"/>
                    </w:rPr>
                  </w:pPr>
                  <w:r>
                    <w:rPr>
                      <w:rFonts w:hint="eastAsia"/>
                      <w:szCs w:val="21"/>
                    </w:rPr>
                    <w:t>润滑油</w:t>
                  </w:r>
                </w:p>
              </w:tc>
              <w:tc>
                <w:tcPr>
                  <w:tcW w:w="1134" w:type="dxa"/>
                  <w:vAlign w:val="center"/>
                </w:tcPr>
                <w:p>
                  <w:pPr>
                    <w:jc w:val="center"/>
                    <w:rPr>
                      <w:szCs w:val="21"/>
                    </w:rPr>
                  </w:pPr>
                  <w:r>
                    <w:rPr>
                      <w:rFonts w:hint="eastAsia"/>
                      <w:szCs w:val="21"/>
                    </w:rPr>
                    <w:t>t/a</w:t>
                  </w:r>
                </w:p>
              </w:tc>
              <w:tc>
                <w:tcPr>
                  <w:tcW w:w="1275" w:type="dxa"/>
                  <w:vAlign w:val="center"/>
                </w:tcPr>
                <w:p>
                  <w:pPr>
                    <w:jc w:val="center"/>
                    <w:rPr>
                      <w:szCs w:val="21"/>
                    </w:rPr>
                  </w:pPr>
                  <w:r>
                    <w:rPr>
                      <w:rFonts w:hint="eastAsia"/>
                      <w:szCs w:val="21"/>
                    </w:rPr>
                    <w:t>1</w:t>
                  </w:r>
                </w:p>
              </w:tc>
              <w:tc>
                <w:tcPr>
                  <w:tcW w:w="1186" w:type="dxa"/>
                  <w:vAlign w:val="center"/>
                </w:tcPr>
                <w:p>
                  <w:pPr>
                    <w:jc w:val="center"/>
                    <w:rPr>
                      <w:szCs w:val="21"/>
                    </w:rPr>
                  </w:pPr>
                  <w:r>
                    <w:rPr>
                      <w:rFonts w:hint="eastAsia"/>
                      <w:szCs w:val="21"/>
                    </w:rPr>
                    <w:t>0.1</w:t>
                  </w:r>
                </w:p>
              </w:tc>
              <w:tc>
                <w:tcPr>
                  <w:tcW w:w="1224" w:type="dxa"/>
                  <w:vAlign w:val="center"/>
                </w:tcPr>
                <w:p>
                  <w:pPr>
                    <w:jc w:val="center"/>
                    <w:rPr>
                      <w:szCs w:val="21"/>
                    </w:rPr>
                  </w:pPr>
                  <w:r>
                    <w:rPr>
                      <w:rFonts w:hint="eastAsia"/>
                      <w:szCs w:val="21"/>
                    </w:rPr>
                    <w:t>外购</w:t>
                  </w:r>
                </w:p>
              </w:tc>
              <w:tc>
                <w:tcPr>
                  <w:tcW w:w="2010"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3" w:type="dxa"/>
                  <w:vAlign w:val="center"/>
                </w:tcPr>
                <w:p>
                  <w:pPr>
                    <w:jc w:val="center"/>
                    <w:rPr>
                      <w:rFonts w:hint="eastAsia" w:eastAsia="宋体"/>
                      <w:szCs w:val="21"/>
                      <w:lang w:eastAsia="zh-CN"/>
                    </w:rPr>
                  </w:pPr>
                  <w:r>
                    <w:rPr>
                      <w:rFonts w:hint="eastAsia"/>
                      <w:szCs w:val="21"/>
                      <w:lang w:val="en-US" w:eastAsia="zh-CN"/>
                    </w:rPr>
                    <w:t>5</w:t>
                  </w:r>
                </w:p>
              </w:tc>
              <w:tc>
                <w:tcPr>
                  <w:tcW w:w="1276" w:type="dxa"/>
                  <w:vAlign w:val="center"/>
                </w:tcPr>
                <w:p>
                  <w:pPr>
                    <w:adjustRightInd w:val="0"/>
                    <w:snapToGrid w:val="0"/>
                    <w:jc w:val="center"/>
                    <w:rPr>
                      <w:bCs/>
                      <w:szCs w:val="21"/>
                    </w:rPr>
                  </w:pPr>
                  <w:r>
                    <w:rPr>
                      <w:bCs/>
                      <w:szCs w:val="21"/>
                    </w:rPr>
                    <w:t>水</w:t>
                  </w:r>
                </w:p>
              </w:tc>
              <w:tc>
                <w:tcPr>
                  <w:tcW w:w="1134" w:type="dxa"/>
                  <w:vAlign w:val="center"/>
                </w:tcPr>
                <w:p>
                  <w:pPr>
                    <w:adjustRightInd w:val="0"/>
                    <w:snapToGrid w:val="0"/>
                    <w:jc w:val="center"/>
                    <w:rPr>
                      <w:bCs/>
                      <w:szCs w:val="21"/>
                    </w:rPr>
                  </w:pPr>
                  <w:r>
                    <w:rPr>
                      <w:szCs w:val="21"/>
                    </w:rPr>
                    <w:t>m</w:t>
                  </w:r>
                  <w:r>
                    <w:rPr>
                      <w:szCs w:val="21"/>
                      <w:vertAlign w:val="superscript"/>
                    </w:rPr>
                    <w:t>3</w:t>
                  </w:r>
                  <w:r>
                    <w:rPr>
                      <w:szCs w:val="21"/>
                    </w:rPr>
                    <w:t>/a</w:t>
                  </w:r>
                </w:p>
              </w:tc>
              <w:tc>
                <w:tcPr>
                  <w:tcW w:w="1275" w:type="dxa"/>
                  <w:vAlign w:val="center"/>
                </w:tcPr>
                <w:p>
                  <w:pPr>
                    <w:jc w:val="center"/>
                    <w:rPr>
                      <w:rFonts w:hint="eastAsia" w:eastAsia="宋体"/>
                      <w:szCs w:val="21"/>
                      <w:lang w:eastAsia="zh-CN"/>
                    </w:rPr>
                  </w:pPr>
                  <w:r>
                    <w:rPr>
                      <w:rFonts w:hint="eastAsia"/>
                      <w:color w:val="auto"/>
                      <w:szCs w:val="21"/>
                      <w:lang w:eastAsia="zh-CN"/>
                    </w:rPr>
                    <w:t>1350</w:t>
                  </w:r>
                </w:p>
              </w:tc>
              <w:tc>
                <w:tcPr>
                  <w:tcW w:w="1186" w:type="dxa"/>
                  <w:vAlign w:val="center"/>
                </w:tcPr>
                <w:p>
                  <w:pPr>
                    <w:jc w:val="center"/>
                    <w:rPr>
                      <w:szCs w:val="21"/>
                    </w:rPr>
                  </w:pPr>
                  <w:r>
                    <w:rPr>
                      <w:szCs w:val="21"/>
                    </w:rPr>
                    <w:t>/</w:t>
                  </w:r>
                </w:p>
              </w:tc>
              <w:tc>
                <w:tcPr>
                  <w:tcW w:w="1224" w:type="dxa"/>
                  <w:vAlign w:val="center"/>
                </w:tcPr>
                <w:p>
                  <w:pPr>
                    <w:jc w:val="center"/>
                    <w:rPr>
                      <w:szCs w:val="21"/>
                    </w:rPr>
                  </w:pPr>
                  <w:r>
                    <w:rPr>
                      <w:szCs w:val="21"/>
                    </w:rPr>
                    <w:t>市政供水</w:t>
                  </w:r>
                </w:p>
              </w:tc>
              <w:tc>
                <w:tcPr>
                  <w:tcW w:w="2010" w:type="dxa"/>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3" w:type="dxa"/>
                  <w:vAlign w:val="center"/>
                </w:tcPr>
                <w:p>
                  <w:pPr>
                    <w:jc w:val="center"/>
                    <w:rPr>
                      <w:rFonts w:hint="eastAsia" w:eastAsia="宋体"/>
                      <w:szCs w:val="21"/>
                      <w:lang w:eastAsia="zh-CN"/>
                    </w:rPr>
                  </w:pPr>
                  <w:r>
                    <w:rPr>
                      <w:rFonts w:hint="eastAsia"/>
                      <w:szCs w:val="21"/>
                      <w:lang w:val="en-US" w:eastAsia="zh-CN"/>
                    </w:rPr>
                    <w:t>6</w:t>
                  </w:r>
                </w:p>
              </w:tc>
              <w:tc>
                <w:tcPr>
                  <w:tcW w:w="1276" w:type="dxa"/>
                  <w:vAlign w:val="center"/>
                </w:tcPr>
                <w:p>
                  <w:pPr>
                    <w:jc w:val="center"/>
                    <w:rPr>
                      <w:szCs w:val="21"/>
                    </w:rPr>
                  </w:pPr>
                  <w:r>
                    <w:rPr>
                      <w:szCs w:val="21"/>
                    </w:rPr>
                    <w:t>电</w:t>
                  </w:r>
                </w:p>
              </w:tc>
              <w:tc>
                <w:tcPr>
                  <w:tcW w:w="1134" w:type="dxa"/>
                  <w:vAlign w:val="center"/>
                </w:tcPr>
                <w:p>
                  <w:pPr>
                    <w:jc w:val="center"/>
                    <w:rPr>
                      <w:szCs w:val="21"/>
                    </w:rPr>
                  </w:pPr>
                  <w:r>
                    <w:rPr>
                      <w:szCs w:val="21"/>
                    </w:rPr>
                    <w:t>万度/年</w:t>
                  </w:r>
                </w:p>
              </w:tc>
              <w:tc>
                <w:tcPr>
                  <w:tcW w:w="1275" w:type="dxa"/>
                  <w:vAlign w:val="center"/>
                </w:tcPr>
                <w:p>
                  <w:pPr>
                    <w:jc w:val="center"/>
                    <w:rPr>
                      <w:rFonts w:hint="default" w:eastAsia="宋体"/>
                      <w:szCs w:val="21"/>
                      <w:lang w:val="en-US" w:eastAsia="zh-CN"/>
                    </w:rPr>
                  </w:pPr>
                  <w:r>
                    <w:rPr>
                      <w:rFonts w:hint="eastAsia"/>
                      <w:szCs w:val="21"/>
                      <w:lang w:val="en-US" w:eastAsia="zh-CN"/>
                    </w:rPr>
                    <w:t>20</w:t>
                  </w:r>
                </w:p>
              </w:tc>
              <w:tc>
                <w:tcPr>
                  <w:tcW w:w="1186" w:type="dxa"/>
                  <w:vAlign w:val="center"/>
                </w:tcPr>
                <w:p>
                  <w:pPr>
                    <w:jc w:val="center"/>
                    <w:rPr>
                      <w:szCs w:val="21"/>
                    </w:rPr>
                  </w:pPr>
                  <w:r>
                    <w:rPr>
                      <w:szCs w:val="21"/>
                    </w:rPr>
                    <w:t>/</w:t>
                  </w:r>
                </w:p>
              </w:tc>
              <w:tc>
                <w:tcPr>
                  <w:tcW w:w="1224" w:type="dxa"/>
                  <w:vAlign w:val="center"/>
                </w:tcPr>
                <w:p>
                  <w:pPr>
                    <w:jc w:val="center"/>
                    <w:rPr>
                      <w:szCs w:val="21"/>
                    </w:rPr>
                  </w:pPr>
                  <w:r>
                    <w:rPr>
                      <w:szCs w:val="21"/>
                    </w:rPr>
                    <w:t>市政供电</w:t>
                  </w:r>
                </w:p>
              </w:tc>
              <w:tc>
                <w:tcPr>
                  <w:tcW w:w="2010" w:type="dxa"/>
                  <w:vAlign w:val="center"/>
                </w:tcPr>
                <w:p>
                  <w:pPr>
                    <w:jc w:val="center"/>
                    <w:rPr>
                      <w:szCs w:val="21"/>
                    </w:rPr>
                  </w:pPr>
                  <w:r>
                    <w:rPr>
                      <w:szCs w:val="21"/>
                    </w:rPr>
                    <w:t>/</w:t>
                  </w:r>
                </w:p>
              </w:tc>
            </w:tr>
          </w:tbl>
          <w:p>
            <w:pPr>
              <w:adjustRightInd w:val="0"/>
              <w:snapToGrid w:val="0"/>
              <w:jc w:val="center"/>
              <w:rPr>
                <w:b/>
                <w:szCs w:val="21"/>
              </w:rPr>
            </w:pPr>
          </w:p>
          <w:p>
            <w:pPr>
              <w:adjustRightInd w:val="0"/>
              <w:snapToGrid w:val="0"/>
              <w:jc w:val="center"/>
              <w:rPr>
                <w:b/>
                <w:sz w:val="28"/>
                <w:szCs w:val="28"/>
              </w:rPr>
            </w:pPr>
            <w:r>
              <w:rPr>
                <w:b/>
                <w:szCs w:val="21"/>
              </w:rPr>
              <w:t>表1-5  主要设备一览表</w:t>
            </w:r>
          </w:p>
          <w:tbl>
            <w:tblPr>
              <w:tblStyle w:val="38"/>
              <w:tblW w:w="88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1381"/>
              <w:gridCol w:w="2337"/>
              <w:gridCol w:w="2062"/>
              <w:gridCol w:w="1243"/>
              <w:gridCol w:w="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
                      <w:bCs/>
                      <w:szCs w:val="21"/>
                    </w:rPr>
                  </w:pPr>
                  <w:r>
                    <w:rPr>
                      <w:b/>
                      <w:bCs/>
                      <w:szCs w:val="21"/>
                    </w:rPr>
                    <w:t>序号</w:t>
                  </w:r>
                </w:p>
              </w:tc>
              <w:tc>
                <w:tcPr>
                  <w:tcW w:w="1381" w:type="dxa"/>
                  <w:vAlign w:val="center"/>
                </w:tcPr>
                <w:p>
                  <w:pPr>
                    <w:jc w:val="center"/>
                    <w:rPr>
                      <w:b/>
                      <w:bCs/>
                      <w:szCs w:val="21"/>
                    </w:rPr>
                  </w:pPr>
                  <w:r>
                    <w:rPr>
                      <w:b/>
                      <w:bCs/>
                      <w:szCs w:val="21"/>
                    </w:rPr>
                    <w:t>车间名称</w:t>
                  </w:r>
                </w:p>
              </w:tc>
              <w:tc>
                <w:tcPr>
                  <w:tcW w:w="2337" w:type="dxa"/>
                  <w:vAlign w:val="center"/>
                </w:tcPr>
                <w:p>
                  <w:pPr>
                    <w:jc w:val="center"/>
                    <w:rPr>
                      <w:b/>
                      <w:bCs/>
                      <w:szCs w:val="21"/>
                    </w:rPr>
                  </w:pPr>
                  <w:r>
                    <w:rPr>
                      <w:b/>
                      <w:bCs/>
                      <w:szCs w:val="21"/>
                    </w:rPr>
                    <w:t>设备名称</w:t>
                  </w:r>
                </w:p>
              </w:tc>
              <w:tc>
                <w:tcPr>
                  <w:tcW w:w="2062" w:type="dxa"/>
                  <w:vAlign w:val="center"/>
                </w:tcPr>
                <w:p>
                  <w:pPr>
                    <w:jc w:val="center"/>
                    <w:rPr>
                      <w:b/>
                      <w:bCs/>
                      <w:szCs w:val="21"/>
                    </w:rPr>
                  </w:pPr>
                  <w:r>
                    <w:rPr>
                      <w:b/>
                      <w:bCs/>
                      <w:szCs w:val="21"/>
                    </w:rPr>
                    <w:t>型号</w:t>
                  </w:r>
                </w:p>
              </w:tc>
              <w:tc>
                <w:tcPr>
                  <w:tcW w:w="1243" w:type="dxa"/>
                  <w:vAlign w:val="center"/>
                </w:tcPr>
                <w:p>
                  <w:pPr>
                    <w:jc w:val="center"/>
                    <w:rPr>
                      <w:b/>
                      <w:bCs/>
                      <w:szCs w:val="21"/>
                    </w:rPr>
                  </w:pPr>
                  <w:r>
                    <w:rPr>
                      <w:b/>
                      <w:bCs/>
                      <w:szCs w:val="21"/>
                    </w:rPr>
                    <w:t>单位</w:t>
                  </w:r>
                </w:p>
              </w:tc>
              <w:tc>
                <w:tcPr>
                  <w:tcW w:w="977" w:type="dxa"/>
                  <w:vAlign w:val="center"/>
                </w:tcPr>
                <w:p>
                  <w:pPr>
                    <w:jc w:val="center"/>
                    <w:rPr>
                      <w:b/>
                      <w:bCs/>
                      <w:szCs w:val="21"/>
                    </w:rPr>
                  </w:pPr>
                  <w:r>
                    <w:rPr>
                      <w:b/>
                      <w:bCs/>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bCs/>
                      <w:szCs w:val="21"/>
                    </w:rPr>
                    <w:t>1</w:t>
                  </w:r>
                </w:p>
              </w:tc>
              <w:tc>
                <w:tcPr>
                  <w:tcW w:w="1381" w:type="dxa"/>
                  <w:vMerge w:val="restart"/>
                  <w:vAlign w:val="center"/>
                </w:tcPr>
                <w:p>
                  <w:pPr>
                    <w:jc w:val="center"/>
                    <w:rPr>
                      <w:bCs/>
                      <w:szCs w:val="21"/>
                    </w:rPr>
                  </w:pPr>
                  <w:r>
                    <w:rPr>
                      <w:bCs/>
                      <w:szCs w:val="21"/>
                    </w:rPr>
                    <w:t>生产车间</w:t>
                  </w:r>
                </w:p>
              </w:tc>
              <w:tc>
                <w:tcPr>
                  <w:tcW w:w="2337" w:type="dxa"/>
                  <w:vAlign w:val="center"/>
                </w:tcPr>
                <w:p>
                  <w:pPr>
                    <w:jc w:val="center"/>
                    <w:rPr>
                      <w:bCs/>
                      <w:szCs w:val="21"/>
                    </w:rPr>
                  </w:pPr>
                  <w:r>
                    <w:rPr>
                      <w:rFonts w:hint="eastAsia"/>
                      <w:bCs/>
                      <w:szCs w:val="21"/>
                    </w:rPr>
                    <w:t>断料机</w:t>
                  </w:r>
                </w:p>
              </w:tc>
              <w:tc>
                <w:tcPr>
                  <w:tcW w:w="2062" w:type="dxa"/>
                  <w:vAlign w:val="center"/>
                </w:tcPr>
                <w:p>
                  <w:pPr>
                    <w:jc w:val="center"/>
                    <w:rPr>
                      <w:bCs/>
                      <w:szCs w:val="21"/>
                    </w:rPr>
                  </w:pPr>
                  <w:r>
                    <w:rPr>
                      <w:bCs/>
                      <w:szCs w:val="21"/>
                    </w:rPr>
                    <w:t>--</w:t>
                  </w:r>
                </w:p>
              </w:tc>
              <w:tc>
                <w:tcPr>
                  <w:tcW w:w="1243" w:type="dxa"/>
                  <w:vAlign w:val="center"/>
                </w:tcPr>
                <w:p>
                  <w:pPr>
                    <w:jc w:val="center"/>
                    <w:rPr>
                      <w:bCs/>
                      <w:szCs w:val="21"/>
                    </w:rPr>
                  </w:pPr>
                  <w:r>
                    <w:rPr>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bCs/>
                      <w:szCs w:val="21"/>
                    </w:rPr>
                    <w:t>2</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压力机</w:t>
                  </w:r>
                </w:p>
              </w:tc>
              <w:tc>
                <w:tcPr>
                  <w:tcW w:w="2062" w:type="dxa"/>
                  <w:vAlign w:val="center"/>
                </w:tcPr>
                <w:p>
                  <w:pPr>
                    <w:jc w:val="center"/>
                    <w:rPr>
                      <w:bCs/>
                      <w:szCs w:val="21"/>
                    </w:rPr>
                  </w:pPr>
                  <w:r>
                    <w:rPr>
                      <w:bCs/>
                      <w:szCs w:val="21"/>
                    </w:rPr>
                    <w:t>--</w:t>
                  </w:r>
                </w:p>
              </w:tc>
              <w:tc>
                <w:tcPr>
                  <w:tcW w:w="1243" w:type="dxa"/>
                  <w:vAlign w:val="center"/>
                </w:tcPr>
                <w:p>
                  <w:pPr>
                    <w:jc w:val="center"/>
                    <w:rPr>
                      <w:bCs/>
                      <w:szCs w:val="21"/>
                    </w:rPr>
                  </w:pPr>
                  <w:r>
                    <w:rPr>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bCs/>
                      <w:szCs w:val="21"/>
                    </w:rPr>
                    <w:t>3</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轧机</w:t>
                  </w:r>
                </w:p>
              </w:tc>
              <w:tc>
                <w:tcPr>
                  <w:tcW w:w="2062" w:type="dxa"/>
                  <w:vAlign w:val="center"/>
                </w:tcPr>
                <w:p>
                  <w:pPr>
                    <w:jc w:val="center"/>
                    <w:rPr>
                      <w:bCs/>
                      <w:szCs w:val="21"/>
                    </w:rPr>
                  </w:pPr>
                  <w:r>
                    <w:rPr>
                      <w:bCs/>
                      <w:szCs w:val="21"/>
                    </w:rPr>
                    <w:t>--</w:t>
                  </w:r>
                </w:p>
              </w:tc>
              <w:tc>
                <w:tcPr>
                  <w:tcW w:w="1243" w:type="dxa"/>
                  <w:vAlign w:val="center"/>
                </w:tcPr>
                <w:p>
                  <w:pPr>
                    <w:jc w:val="center"/>
                    <w:rPr>
                      <w:bCs/>
                      <w:szCs w:val="21"/>
                    </w:rPr>
                  </w:pPr>
                  <w:r>
                    <w:rPr>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bCs/>
                      <w:szCs w:val="21"/>
                    </w:rPr>
                    <w:t>4</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冲床</w:t>
                  </w:r>
                </w:p>
              </w:tc>
              <w:tc>
                <w:tcPr>
                  <w:tcW w:w="2062" w:type="dxa"/>
                  <w:vAlign w:val="center"/>
                </w:tcPr>
                <w:p>
                  <w:pPr>
                    <w:jc w:val="center"/>
                    <w:rPr>
                      <w:bCs/>
                      <w:szCs w:val="21"/>
                    </w:rPr>
                  </w:pPr>
                  <w:r>
                    <w:rPr>
                      <w:bCs/>
                      <w:szCs w:val="21"/>
                    </w:rPr>
                    <w:t>--</w:t>
                  </w:r>
                </w:p>
              </w:tc>
              <w:tc>
                <w:tcPr>
                  <w:tcW w:w="1243" w:type="dxa"/>
                  <w:vAlign w:val="center"/>
                </w:tcPr>
                <w:p>
                  <w:pPr>
                    <w:jc w:val="center"/>
                    <w:rPr>
                      <w:bCs/>
                      <w:szCs w:val="21"/>
                    </w:rPr>
                  </w:pPr>
                  <w:r>
                    <w:rPr>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bCs/>
                      <w:szCs w:val="21"/>
                    </w:rPr>
                    <w:t>5</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车床</w:t>
                  </w:r>
                </w:p>
              </w:tc>
              <w:tc>
                <w:tcPr>
                  <w:tcW w:w="2062" w:type="dxa"/>
                  <w:vAlign w:val="center"/>
                </w:tcPr>
                <w:p>
                  <w:pPr>
                    <w:jc w:val="center"/>
                    <w:rPr>
                      <w:bCs/>
                      <w:szCs w:val="21"/>
                    </w:rPr>
                  </w:pPr>
                  <w:r>
                    <w:rPr>
                      <w:bCs/>
                      <w:szCs w:val="21"/>
                    </w:rPr>
                    <w:t>--</w:t>
                  </w:r>
                </w:p>
              </w:tc>
              <w:tc>
                <w:tcPr>
                  <w:tcW w:w="1243" w:type="dxa"/>
                  <w:vAlign w:val="center"/>
                </w:tcPr>
                <w:p>
                  <w:pPr>
                    <w:jc w:val="center"/>
                    <w:rPr>
                      <w:bCs/>
                      <w:szCs w:val="21"/>
                    </w:rPr>
                  </w:pPr>
                  <w:r>
                    <w:rPr>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bCs/>
                      <w:szCs w:val="21"/>
                    </w:rPr>
                    <w:t>6</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磨床</w:t>
                  </w:r>
                </w:p>
              </w:tc>
              <w:tc>
                <w:tcPr>
                  <w:tcW w:w="2062" w:type="dxa"/>
                  <w:vAlign w:val="center"/>
                </w:tcPr>
                <w:p>
                  <w:pPr>
                    <w:jc w:val="center"/>
                    <w:rPr>
                      <w:bCs/>
                      <w:szCs w:val="21"/>
                    </w:rPr>
                  </w:pPr>
                  <w:r>
                    <w:rPr>
                      <w:bCs/>
                      <w:szCs w:val="21"/>
                    </w:rPr>
                    <w:t>--</w:t>
                  </w:r>
                </w:p>
              </w:tc>
              <w:tc>
                <w:tcPr>
                  <w:tcW w:w="1243" w:type="dxa"/>
                  <w:vAlign w:val="center"/>
                </w:tcPr>
                <w:p>
                  <w:pPr>
                    <w:jc w:val="center"/>
                    <w:rPr>
                      <w:bCs/>
                      <w:szCs w:val="21"/>
                    </w:rPr>
                  </w:pPr>
                  <w:r>
                    <w:rPr>
                      <w:bCs/>
                      <w:szCs w:val="21"/>
                    </w:rPr>
                    <w:t>台</w:t>
                  </w:r>
                </w:p>
              </w:tc>
              <w:tc>
                <w:tcPr>
                  <w:tcW w:w="977" w:type="dxa"/>
                  <w:vAlign w:val="center"/>
                </w:tcPr>
                <w:p>
                  <w:pPr>
                    <w:jc w:val="center"/>
                    <w:rPr>
                      <w:bCs/>
                      <w:szCs w:val="21"/>
                    </w:rPr>
                  </w:pPr>
                  <w:r>
                    <w:rPr>
                      <w:rFonts w:hint="eastAsia"/>
                      <w:bCs/>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bCs/>
                      <w:szCs w:val="21"/>
                    </w:rPr>
                    <w:t>7</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铣床</w:t>
                  </w:r>
                </w:p>
              </w:tc>
              <w:tc>
                <w:tcPr>
                  <w:tcW w:w="2062" w:type="dxa"/>
                  <w:vAlign w:val="center"/>
                </w:tcPr>
                <w:p>
                  <w:pPr>
                    <w:jc w:val="center"/>
                    <w:rPr>
                      <w:bCs/>
                      <w:szCs w:val="21"/>
                    </w:rPr>
                  </w:pPr>
                  <w:r>
                    <w:rPr>
                      <w:bCs/>
                      <w:szCs w:val="21"/>
                    </w:rPr>
                    <w:t>--</w:t>
                  </w:r>
                </w:p>
              </w:tc>
              <w:tc>
                <w:tcPr>
                  <w:tcW w:w="1243" w:type="dxa"/>
                  <w:vAlign w:val="center"/>
                </w:tcPr>
                <w:p>
                  <w:pPr>
                    <w:jc w:val="center"/>
                    <w:rPr>
                      <w:bCs/>
                      <w:szCs w:val="21"/>
                    </w:rPr>
                  </w:pPr>
                  <w:r>
                    <w:rPr>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rFonts w:hint="eastAsia"/>
                      <w:bCs/>
                      <w:szCs w:val="21"/>
                    </w:rPr>
                    <w:t>9</w:t>
                  </w:r>
                </w:p>
              </w:tc>
              <w:tc>
                <w:tcPr>
                  <w:tcW w:w="1381" w:type="dxa"/>
                  <w:vMerge w:val="continue"/>
                  <w:vAlign w:val="center"/>
                </w:tcPr>
                <w:p>
                  <w:pPr>
                    <w:jc w:val="center"/>
                    <w:rPr>
                      <w:bCs/>
                      <w:szCs w:val="21"/>
                    </w:rPr>
                  </w:pPr>
                </w:p>
              </w:tc>
              <w:tc>
                <w:tcPr>
                  <w:tcW w:w="2337" w:type="dxa"/>
                  <w:vAlign w:val="center"/>
                </w:tcPr>
                <w:p>
                  <w:pPr>
                    <w:jc w:val="center"/>
                    <w:rPr>
                      <w:rFonts w:hint="eastAsia" w:eastAsia="宋体"/>
                      <w:bCs/>
                      <w:szCs w:val="21"/>
                      <w:lang w:eastAsia="zh-CN"/>
                    </w:rPr>
                  </w:pPr>
                  <w:r>
                    <w:rPr>
                      <w:rFonts w:hint="eastAsia"/>
                      <w:bCs/>
                      <w:szCs w:val="21"/>
                      <w:lang w:eastAsia="zh-CN"/>
                    </w:rPr>
                    <w:t>研磨机</w:t>
                  </w:r>
                </w:p>
              </w:tc>
              <w:tc>
                <w:tcPr>
                  <w:tcW w:w="2062" w:type="dxa"/>
                  <w:vAlign w:val="center"/>
                </w:tcPr>
                <w:p>
                  <w:pPr>
                    <w:jc w:val="center"/>
                    <w:rPr>
                      <w:bCs/>
                      <w:szCs w:val="21"/>
                    </w:rPr>
                  </w:pPr>
                  <w:r>
                    <w:rPr>
                      <w:rFonts w:hint="eastAsia"/>
                      <w:bCs/>
                      <w:szCs w:val="21"/>
                    </w:rPr>
                    <w:t>--</w:t>
                  </w:r>
                </w:p>
              </w:tc>
              <w:tc>
                <w:tcPr>
                  <w:tcW w:w="1243" w:type="dxa"/>
                  <w:vAlign w:val="center"/>
                </w:tcPr>
                <w:p>
                  <w:pPr>
                    <w:jc w:val="center"/>
                    <w:rPr>
                      <w:bCs/>
                      <w:szCs w:val="21"/>
                    </w:rPr>
                  </w:pPr>
                  <w:r>
                    <w:rPr>
                      <w:rFonts w:hint="eastAsia"/>
                      <w:bCs/>
                      <w:szCs w:val="21"/>
                    </w:rPr>
                    <w:t>台</w:t>
                  </w:r>
                </w:p>
              </w:tc>
              <w:tc>
                <w:tcPr>
                  <w:tcW w:w="977" w:type="dxa"/>
                  <w:vAlign w:val="center"/>
                </w:tcPr>
                <w:p>
                  <w:pPr>
                    <w:jc w:val="center"/>
                    <w:rPr>
                      <w:rFonts w:hint="eastAsia" w:eastAsia="宋体"/>
                      <w:bCs/>
                      <w:szCs w:val="21"/>
                      <w:lang w:val="en-US" w:eastAsia="zh-CN"/>
                    </w:rPr>
                  </w:pPr>
                  <w:r>
                    <w:rPr>
                      <w:rFonts w:hint="eastAsia"/>
                      <w:bCs/>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rFonts w:hint="eastAsia"/>
                      <w:bCs/>
                      <w:szCs w:val="21"/>
                    </w:rPr>
                    <w:t>10</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lang w:eastAsia="zh-CN"/>
                    </w:rPr>
                    <w:t>抛丸</w:t>
                  </w:r>
                  <w:r>
                    <w:rPr>
                      <w:rFonts w:hint="eastAsia"/>
                      <w:bCs/>
                      <w:szCs w:val="21"/>
                    </w:rPr>
                    <w:t>机</w:t>
                  </w:r>
                </w:p>
              </w:tc>
              <w:tc>
                <w:tcPr>
                  <w:tcW w:w="2062" w:type="dxa"/>
                  <w:vAlign w:val="center"/>
                </w:tcPr>
                <w:p>
                  <w:pPr>
                    <w:jc w:val="center"/>
                    <w:rPr>
                      <w:bCs/>
                      <w:szCs w:val="21"/>
                    </w:rPr>
                  </w:pPr>
                  <w:r>
                    <w:rPr>
                      <w:rFonts w:hint="eastAsia"/>
                      <w:bCs/>
                      <w:szCs w:val="21"/>
                    </w:rPr>
                    <w:t>--</w:t>
                  </w:r>
                </w:p>
              </w:tc>
              <w:tc>
                <w:tcPr>
                  <w:tcW w:w="1243" w:type="dxa"/>
                  <w:vAlign w:val="center"/>
                </w:tcPr>
                <w:p>
                  <w:pPr>
                    <w:jc w:val="center"/>
                    <w:rPr>
                      <w:bCs/>
                      <w:szCs w:val="21"/>
                    </w:rPr>
                  </w:pPr>
                  <w:r>
                    <w:rPr>
                      <w:rFonts w:hint="eastAsia"/>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rFonts w:hint="eastAsia"/>
                      <w:bCs/>
                      <w:szCs w:val="21"/>
                    </w:rPr>
                    <w:t>11</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数控</w:t>
                  </w:r>
                  <w:r>
                    <w:rPr>
                      <w:bCs/>
                      <w:szCs w:val="21"/>
                    </w:rPr>
                    <w:t>抛光机</w:t>
                  </w:r>
                </w:p>
              </w:tc>
              <w:tc>
                <w:tcPr>
                  <w:tcW w:w="2062" w:type="dxa"/>
                  <w:vAlign w:val="center"/>
                </w:tcPr>
                <w:p>
                  <w:pPr>
                    <w:jc w:val="center"/>
                    <w:rPr>
                      <w:bCs/>
                      <w:szCs w:val="21"/>
                    </w:rPr>
                  </w:pPr>
                  <w:r>
                    <w:rPr>
                      <w:rFonts w:hint="eastAsia"/>
                      <w:bCs/>
                      <w:szCs w:val="21"/>
                    </w:rPr>
                    <w:t>--</w:t>
                  </w:r>
                </w:p>
              </w:tc>
              <w:tc>
                <w:tcPr>
                  <w:tcW w:w="1243" w:type="dxa"/>
                  <w:vAlign w:val="center"/>
                </w:tcPr>
                <w:p>
                  <w:pPr>
                    <w:jc w:val="center"/>
                    <w:rPr>
                      <w:bCs/>
                      <w:szCs w:val="21"/>
                    </w:rPr>
                  </w:pPr>
                  <w:r>
                    <w:rPr>
                      <w:rFonts w:hint="eastAsia"/>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rFonts w:hint="eastAsia"/>
                      <w:bCs/>
                      <w:szCs w:val="21"/>
                    </w:rPr>
                  </w:pPr>
                  <w:r>
                    <w:rPr>
                      <w:rFonts w:hint="eastAsia"/>
                      <w:bCs/>
                      <w:szCs w:val="21"/>
                    </w:rPr>
                    <w:t>12</w:t>
                  </w:r>
                </w:p>
              </w:tc>
              <w:tc>
                <w:tcPr>
                  <w:tcW w:w="1381" w:type="dxa"/>
                  <w:vMerge w:val="continue"/>
                  <w:vAlign w:val="center"/>
                </w:tcPr>
                <w:p>
                  <w:pPr>
                    <w:jc w:val="center"/>
                    <w:rPr>
                      <w:bCs/>
                      <w:szCs w:val="21"/>
                    </w:rPr>
                  </w:pPr>
                </w:p>
              </w:tc>
              <w:tc>
                <w:tcPr>
                  <w:tcW w:w="2337" w:type="dxa"/>
                  <w:vAlign w:val="center"/>
                </w:tcPr>
                <w:p>
                  <w:pPr>
                    <w:jc w:val="center"/>
                    <w:rPr>
                      <w:rFonts w:hint="default" w:eastAsia="宋体"/>
                      <w:bCs/>
                      <w:szCs w:val="21"/>
                      <w:lang w:val="en-US" w:eastAsia="zh-CN"/>
                    </w:rPr>
                  </w:pPr>
                  <w:r>
                    <w:rPr>
                      <w:rFonts w:hint="eastAsia"/>
                      <w:bCs/>
                      <w:szCs w:val="21"/>
                      <w:lang w:val="en-US" w:eastAsia="zh-CN"/>
                    </w:rPr>
                    <w:t>手工抛光机</w:t>
                  </w:r>
                </w:p>
              </w:tc>
              <w:tc>
                <w:tcPr>
                  <w:tcW w:w="2062" w:type="dxa"/>
                  <w:vAlign w:val="center"/>
                </w:tcPr>
                <w:p>
                  <w:pPr>
                    <w:jc w:val="center"/>
                    <w:rPr>
                      <w:rFonts w:hint="eastAsia"/>
                      <w:bCs/>
                      <w:szCs w:val="21"/>
                    </w:rPr>
                  </w:pPr>
                  <w:r>
                    <w:rPr>
                      <w:rFonts w:hint="eastAsia"/>
                      <w:bCs/>
                      <w:szCs w:val="21"/>
                    </w:rPr>
                    <w:t>--</w:t>
                  </w:r>
                </w:p>
              </w:tc>
              <w:tc>
                <w:tcPr>
                  <w:tcW w:w="1243" w:type="dxa"/>
                  <w:vAlign w:val="center"/>
                </w:tcPr>
                <w:p>
                  <w:pPr>
                    <w:jc w:val="center"/>
                    <w:rPr>
                      <w:rFonts w:hint="eastAsia"/>
                      <w:bCs/>
                      <w:szCs w:val="21"/>
                    </w:rPr>
                  </w:pPr>
                  <w:r>
                    <w:rPr>
                      <w:rFonts w:hint="eastAsia"/>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rFonts w:hint="eastAsia"/>
                      <w:bCs/>
                      <w:szCs w:val="21"/>
                    </w:rPr>
                    <w:t>13</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中频炉</w:t>
                  </w:r>
                </w:p>
              </w:tc>
              <w:tc>
                <w:tcPr>
                  <w:tcW w:w="2062" w:type="dxa"/>
                  <w:vAlign w:val="center"/>
                </w:tcPr>
                <w:p>
                  <w:pPr>
                    <w:jc w:val="center"/>
                    <w:rPr>
                      <w:bCs/>
                      <w:szCs w:val="21"/>
                    </w:rPr>
                  </w:pPr>
                  <w:r>
                    <w:rPr>
                      <w:rFonts w:hint="eastAsia"/>
                      <w:bCs/>
                      <w:szCs w:val="21"/>
                    </w:rPr>
                    <w:t>--</w:t>
                  </w:r>
                </w:p>
              </w:tc>
              <w:tc>
                <w:tcPr>
                  <w:tcW w:w="1243" w:type="dxa"/>
                  <w:vAlign w:val="center"/>
                </w:tcPr>
                <w:p>
                  <w:pPr>
                    <w:jc w:val="center"/>
                    <w:rPr>
                      <w:bCs/>
                      <w:szCs w:val="21"/>
                    </w:rPr>
                  </w:pPr>
                  <w:r>
                    <w:rPr>
                      <w:rFonts w:hint="eastAsia"/>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bCs/>
                      <w:szCs w:val="21"/>
                    </w:rPr>
                  </w:pPr>
                  <w:r>
                    <w:rPr>
                      <w:rFonts w:hint="eastAsia"/>
                      <w:bCs/>
                      <w:szCs w:val="21"/>
                    </w:rPr>
                    <w:t>14</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拉床</w:t>
                  </w:r>
                </w:p>
              </w:tc>
              <w:tc>
                <w:tcPr>
                  <w:tcW w:w="2062" w:type="dxa"/>
                  <w:vAlign w:val="center"/>
                </w:tcPr>
                <w:p>
                  <w:pPr>
                    <w:jc w:val="center"/>
                    <w:rPr>
                      <w:bCs/>
                      <w:szCs w:val="21"/>
                    </w:rPr>
                  </w:pPr>
                  <w:r>
                    <w:rPr>
                      <w:rFonts w:hint="eastAsia"/>
                      <w:bCs/>
                      <w:szCs w:val="21"/>
                    </w:rPr>
                    <w:t>--</w:t>
                  </w:r>
                </w:p>
              </w:tc>
              <w:tc>
                <w:tcPr>
                  <w:tcW w:w="1243" w:type="dxa"/>
                  <w:vAlign w:val="center"/>
                </w:tcPr>
                <w:p>
                  <w:pPr>
                    <w:jc w:val="center"/>
                    <w:rPr>
                      <w:bCs/>
                      <w:szCs w:val="21"/>
                    </w:rPr>
                  </w:pPr>
                  <w:r>
                    <w:rPr>
                      <w:rFonts w:hint="eastAsia"/>
                      <w:bCs/>
                      <w:szCs w:val="21"/>
                    </w:rPr>
                    <w:t>台</w:t>
                  </w:r>
                </w:p>
              </w:tc>
              <w:tc>
                <w:tcPr>
                  <w:tcW w:w="977" w:type="dxa"/>
                  <w:vAlign w:val="center"/>
                </w:tcPr>
                <w:p>
                  <w:pPr>
                    <w:jc w:val="center"/>
                    <w:rPr>
                      <w:bCs/>
                      <w:szCs w:val="21"/>
                    </w:rPr>
                  </w:pPr>
                  <w:r>
                    <w:rPr>
                      <w:rFonts w:hint="eastAsia"/>
                      <w:bCs/>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rFonts w:hint="eastAsia" w:eastAsia="宋体"/>
                      <w:bCs/>
                      <w:szCs w:val="21"/>
                      <w:lang w:eastAsia="zh-CN"/>
                    </w:rPr>
                  </w:pPr>
                  <w:r>
                    <w:rPr>
                      <w:rFonts w:hint="eastAsia"/>
                      <w:bCs/>
                      <w:szCs w:val="21"/>
                    </w:rPr>
                    <w:t>1</w:t>
                  </w:r>
                  <w:r>
                    <w:rPr>
                      <w:rFonts w:hint="eastAsia"/>
                      <w:bCs/>
                      <w:szCs w:val="21"/>
                      <w:lang w:val="en-US" w:eastAsia="zh-CN"/>
                    </w:rPr>
                    <w:t>5</w:t>
                  </w:r>
                </w:p>
              </w:tc>
              <w:tc>
                <w:tcPr>
                  <w:tcW w:w="1381" w:type="dxa"/>
                  <w:vMerge w:val="continue"/>
                  <w:vAlign w:val="center"/>
                </w:tcPr>
                <w:p>
                  <w:pPr>
                    <w:jc w:val="center"/>
                    <w:rPr>
                      <w:bCs/>
                      <w:szCs w:val="21"/>
                    </w:rPr>
                  </w:pPr>
                </w:p>
              </w:tc>
              <w:tc>
                <w:tcPr>
                  <w:tcW w:w="2337" w:type="dxa"/>
                  <w:vAlign w:val="center"/>
                </w:tcPr>
                <w:p>
                  <w:pPr>
                    <w:jc w:val="center"/>
                    <w:rPr>
                      <w:rFonts w:hint="eastAsia" w:eastAsia="宋体"/>
                      <w:bCs/>
                      <w:szCs w:val="21"/>
                      <w:lang w:eastAsia="zh-CN"/>
                    </w:rPr>
                  </w:pPr>
                  <w:r>
                    <w:rPr>
                      <w:rFonts w:hint="eastAsia"/>
                      <w:bCs/>
                      <w:szCs w:val="21"/>
                      <w:lang w:val="en-US" w:eastAsia="zh-CN"/>
                    </w:rPr>
                    <w:t>压滤机</w:t>
                  </w:r>
                </w:p>
              </w:tc>
              <w:tc>
                <w:tcPr>
                  <w:tcW w:w="2062" w:type="dxa"/>
                  <w:vAlign w:val="center"/>
                </w:tcPr>
                <w:p>
                  <w:pPr>
                    <w:jc w:val="center"/>
                    <w:rPr>
                      <w:bCs/>
                      <w:szCs w:val="21"/>
                    </w:rPr>
                  </w:pPr>
                  <w:r>
                    <w:rPr>
                      <w:rFonts w:hint="eastAsia"/>
                      <w:bCs/>
                      <w:szCs w:val="21"/>
                    </w:rPr>
                    <w:t>--</w:t>
                  </w:r>
                </w:p>
              </w:tc>
              <w:tc>
                <w:tcPr>
                  <w:tcW w:w="1243" w:type="dxa"/>
                  <w:vAlign w:val="center"/>
                </w:tcPr>
                <w:p>
                  <w:pPr>
                    <w:jc w:val="center"/>
                    <w:rPr>
                      <w:bCs/>
                      <w:szCs w:val="21"/>
                    </w:rPr>
                  </w:pPr>
                  <w:r>
                    <w:rPr>
                      <w:rFonts w:hint="eastAsia"/>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18" w:type="dxa"/>
                  <w:vAlign w:val="center"/>
                </w:tcPr>
                <w:p>
                  <w:pPr>
                    <w:jc w:val="center"/>
                    <w:rPr>
                      <w:rFonts w:hint="eastAsia" w:eastAsia="宋体"/>
                      <w:bCs/>
                      <w:szCs w:val="21"/>
                      <w:lang w:eastAsia="zh-CN"/>
                    </w:rPr>
                  </w:pPr>
                  <w:r>
                    <w:rPr>
                      <w:rFonts w:hint="eastAsia"/>
                      <w:bCs/>
                      <w:szCs w:val="21"/>
                    </w:rPr>
                    <w:t>1</w:t>
                  </w:r>
                  <w:r>
                    <w:rPr>
                      <w:rFonts w:hint="eastAsia"/>
                      <w:bCs/>
                      <w:szCs w:val="21"/>
                      <w:lang w:val="en-US" w:eastAsia="zh-CN"/>
                    </w:rPr>
                    <w:t>6</w:t>
                  </w:r>
                </w:p>
              </w:tc>
              <w:tc>
                <w:tcPr>
                  <w:tcW w:w="1381" w:type="dxa"/>
                  <w:vMerge w:val="continue"/>
                  <w:vAlign w:val="center"/>
                </w:tcPr>
                <w:p>
                  <w:pPr>
                    <w:jc w:val="center"/>
                    <w:rPr>
                      <w:bCs/>
                      <w:szCs w:val="21"/>
                    </w:rPr>
                  </w:pPr>
                </w:p>
              </w:tc>
              <w:tc>
                <w:tcPr>
                  <w:tcW w:w="2337" w:type="dxa"/>
                  <w:vAlign w:val="center"/>
                </w:tcPr>
                <w:p>
                  <w:pPr>
                    <w:jc w:val="center"/>
                    <w:rPr>
                      <w:bCs/>
                      <w:szCs w:val="21"/>
                    </w:rPr>
                  </w:pPr>
                  <w:r>
                    <w:rPr>
                      <w:rFonts w:hint="eastAsia"/>
                      <w:bCs/>
                      <w:szCs w:val="21"/>
                    </w:rPr>
                    <w:t>火花机</w:t>
                  </w:r>
                </w:p>
              </w:tc>
              <w:tc>
                <w:tcPr>
                  <w:tcW w:w="2062" w:type="dxa"/>
                  <w:vAlign w:val="center"/>
                </w:tcPr>
                <w:p>
                  <w:pPr>
                    <w:jc w:val="center"/>
                    <w:rPr>
                      <w:bCs/>
                      <w:szCs w:val="21"/>
                    </w:rPr>
                  </w:pPr>
                  <w:r>
                    <w:rPr>
                      <w:rFonts w:hint="eastAsia"/>
                      <w:bCs/>
                      <w:szCs w:val="21"/>
                    </w:rPr>
                    <w:t>--</w:t>
                  </w:r>
                </w:p>
              </w:tc>
              <w:tc>
                <w:tcPr>
                  <w:tcW w:w="1243" w:type="dxa"/>
                  <w:vAlign w:val="center"/>
                </w:tcPr>
                <w:p>
                  <w:pPr>
                    <w:jc w:val="center"/>
                    <w:rPr>
                      <w:bCs/>
                      <w:szCs w:val="21"/>
                    </w:rPr>
                  </w:pPr>
                  <w:r>
                    <w:rPr>
                      <w:rFonts w:hint="eastAsia"/>
                      <w:bCs/>
                      <w:szCs w:val="21"/>
                    </w:rPr>
                    <w:t>台</w:t>
                  </w:r>
                </w:p>
              </w:tc>
              <w:tc>
                <w:tcPr>
                  <w:tcW w:w="977" w:type="dxa"/>
                  <w:vAlign w:val="center"/>
                </w:tcPr>
                <w:p>
                  <w:pPr>
                    <w:jc w:val="center"/>
                    <w:rPr>
                      <w:rFonts w:hint="eastAsia" w:eastAsia="宋体"/>
                      <w:bCs/>
                      <w:szCs w:val="21"/>
                      <w:lang w:eastAsia="zh-CN"/>
                    </w:rPr>
                  </w:pPr>
                  <w:r>
                    <w:rPr>
                      <w:rFonts w:hint="eastAsia"/>
                      <w:bCs/>
                      <w:szCs w:val="21"/>
                      <w:lang w:val="en-US" w:eastAsia="zh-CN"/>
                    </w:rPr>
                    <w:t>1</w:t>
                  </w:r>
                </w:p>
              </w:tc>
            </w:tr>
          </w:tbl>
          <w:p>
            <w:pPr>
              <w:adjustRightInd w:val="0"/>
              <w:snapToGrid w:val="0"/>
              <w:spacing w:line="360" w:lineRule="auto"/>
              <w:ind w:firstLine="482" w:firstLineChars="200"/>
              <w:rPr>
                <w:b/>
                <w:sz w:val="24"/>
              </w:rPr>
            </w:pPr>
            <w:r>
              <w:rPr>
                <w:b/>
                <w:sz w:val="24"/>
              </w:rPr>
              <w:t>6、劳动定员</w:t>
            </w:r>
          </w:p>
          <w:p>
            <w:pPr>
              <w:adjustRightInd w:val="0"/>
              <w:snapToGrid w:val="0"/>
              <w:spacing w:line="360" w:lineRule="auto"/>
              <w:ind w:firstLine="480" w:firstLineChars="200"/>
              <w:rPr>
                <w:sz w:val="24"/>
                <w:u w:val="none"/>
                <w:lang w:val="zh-CN"/>
              </w:rPr>
            </w:pPr>
            <w:r>
              <w:rPr>
                <w:sz w:val="24"/>
                <w:u w:val="none"/>
              </w:rPr>
              <w:t>本项目工程设计定员</w:t>
            </w:r>
            <w:r>
              <w:rPr>
                <w:rFonts w:hint="eastAsia"/>
                <w:sz w:val="24"/>
                <w:u w:val="none"/>
                <w:lang w:val="en-US" w:eastAsia="zh-CN"/>
              </w:rPr>
              <w:t>3</w:t>
            </w:r>
            <w:r>
              <w:rPr>
                <w:sz w:val="24"/>
                <w:u w:val="none"/>
                <w:lang w:val="zh-CN"/>
              </w:rPr>
              <w:t>0人，</w:t>
            </w:r>
            <w:r>
              <w:rPr>
                <w:rFonts w:hint="eastAsia"/>
                <w:sz w:val="24"/>
                <w:u w:val="none"/>
                <w:lang w:val="zh-CN"/>
              </w:rPr>
              <w:t>不含食宿</w:t>
            </w:r>
            <w:r>
              <w:rPr>
                <w:sz w:val="24"/>
                <w:u w:val="none"/>
                <w:lang w:val="zh-CN"/>
              </w:rPr>
              <w:t>，全年生产</w:t>
            </w:r>
            <w:r>
              <w:rPr>
                <w:rFonts w:hint="eastAsia"/>
                <w:sz w:val="24"/>
                <w:u w:val="none"/>
                <w:lang w:val="en-US" w:eastAsia="zh-CN"/>
              </w:rPr>
              <w:t>300</w:t>
            </w:r>
            <w:r>
              <w:rPr>
                <w:sz w:val="24"/>
                <w:u w:val="none"/>
                <w:lang w:val="zh-CN"/>
              </w:rPr>
              <w:t>天，每天工作8小时，年工作</w:t>
            </w:r>
            <w:r>
              <w:rPr>
                <w:rFonts w:hint="eastAsia"/>
                <w:sz w:val="24"/>
                <w:u w:val="none"/>
                <w:lang w:val="en-US" w:eastAsia="zh-CN"/>
              </w:rPr>
              <w:t>2400</w:t>
            </w:r>
            <w:r>
              <w:rPr>
                <w:sz w:val="24"/>
                <w:u w:val="none"/>
                <w:lang w:val="zh-CN"/>
              </w:rPr>
              <w:t>小时。</w:t>
            </w:r>
          </w:p>
          <w:p>
            <w:pPr>
              <w:autoSpaceDE w:val="0"/>
              <w:autoSpaceDN w:val="0"/>
              <w:adjustRightInd w:val="0"/>
              <w:spacing w:line="360" w:lineRule="auto"/>
              <w:ind w:firstLine="482" w:firstLineChars="200"/>
              <w:rPr>
                <w:b/>
                <w:sz w:val="24"/>
              </w:rPr>
            </w:pPr>
            <w:r>
              <w:rPr>
                <w:b/>
                <w:sz w:val="24"/>
              </w:rPr>
              <w:t>7、公用工程</w:t>
            </w:r>
          </w:p>
          <w:p>
            <w:pPr>
              <w:adjustRightInd w:val="0"/>
              <w:snapToGrid w:val="0"/>
              <w:spacing w:line="360" w:lineRule="auto"/>
              <w:ind w:firstLine="480" w:firstLineChars="200"/>
              <w:rPr>
                <w:sz w:val="24"/>
              </w:rPr>
            </w:pPr>
            <w:r>
              <w:rPr>
                <w:sz w:val="24"/>
              </w:rPr>
              <w:t>（1）给水</w:t>
            </w:r>
          </w:p>
          <w:p>
            <w:pPr>
              <w:adjustRightInd w:val="0"/>
              <w:snapToGrid w:val="0"/>
              <w:spacing w:line="360" w:lineRule="auto"/>
              <w:ind w:firstLine="480" w:firstLineChars="200"/>
              <w:rPr>
                <w:sz w:val="24"/>
              </w:rPr>
            </w:pPr>
            <w:r>
              <w:rPr>
                <w:sz w:val="24"/>
              </w:rPr>
              <w:t>本项目给水由市政给水管网接入。</w:t>
            </w:r>
          </w:p>
          <w:p>
            <w:pPr>
              <w:adjustRightInd w:val="0"/>
              <w:snapToGrid w:val="0"/>
              <w:spacing w:line="360" w:lineRule="auto"/>
              <w:ind w:firstLine="480" w:firstLineChars="200"/>
              <w:rPr>
                <w:sz w:val="24"/>
              </w:rPr>
            </w:pPr>
            <w:r>
              <w:rPr>
                <w:sz w:val="24"/>
              </w:rPr>
              <w:t xml:space="preserve">用水量：根据《湖南省用水定额》（DB43/T388-2014），详细用水量估算见下表。 </w:t>
            </w:r>
          </w:p>
          <w:p>
            <w:pPr>
              <w:adjustRightInd w:val="0"/>
              <w:snapToGrid w:val="0"/>
              <w:jc w:val="center"/>
              <w:rPr>
                <w:b/>
                <w:bCs/>
                <w:szCs w:val="21"/>
              </w:rPr>
            </w:pPr>
          </w:p>
          <w:p>
            <w:pPr>
              <w:adjustRightInd w:val="0"/>
              <w:snapToGrid w:val="0"/>
              <w:jc w:val="center"/>
              <w:rPr>
                <w:b/>
                <w:bCs/>
                <w:szCs w:val="21"/>
              </w:rPr>
            </w:pPr>
          </w:p>
          <w:p>
            <w:pPr>
              <w:adjustRightInd w:val="0"/>
              <w:snapToGrid w:val="0"/>
              <w:jc w:val="center"/>
              <w:rPr>
                <w:b/>
                <w:bCs/>
                <w:szCs w:val="21"/>
              </w:rPr>
            </w:pPr>
            <w:r>
              <w:rPr>
                <w:b/>
                <w:bCs/>
                <w:szCs w:val="21"/>
              </w:rPr>
              <w:t>表1-6  用水量估算表</w:t>
            </w:r>
          </w:p>
          <w:tbl>
            <w:tblPr>
              <w:tblStyle w:val="38"/>
              <w:tblW w:w="88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702"/>
              <w:gridCol w:w="1123"/>
              <w:gridCol w:w="1608"/>
              <w:gridCol w:w="1494"/>
              <w:gridCol w:w="21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3" w:type="dxa"/>
                  <w:vAlign w:val="center"/>
                </w:tcPr>
                <w:p>
                  <w:pPr>
                    <w:tabs>
                      <w:tab w:val="center" w:pos="4153"/>
                      <w:tab w:val="right" w:pos="8306"/>
                    </w:tabs>
                    <w:snapToGrid w:val="0"/>
                    <w:jc w:val="center"/>
                    <w:rPr>
                      <w:b/>
                      <w:bCs/>
                      <w:szCs w:val="21"/>
                    </w:rPr>
                  </w:pPr>
                  <w:r>
                    <w:rPr>
                      <w:b/>
                      <w:bCs/>
                      <w:szCs w:val="21"/>
                    </w:rPr>
                    <w:t>序号</w:t>
                  </w:r>
                </w:p>
              </w:tc>
              <w:tc>
                <w:tcPr>
                  <w:tcW w:w="1702" w:type="dxa"/>
                  <w:vAlign w:val="center"/>
                </w:tcPr>
                <w:p>
                  <w:pPr>
                    <w:tabs>
                      <w:tab w:val="center" w:pos="4153"/>
                      <w:tab w:val="right" w:pos="8306"/>
                    </w:tabs>
                    <w:snapToGrid w:val="0"/>
                    <w:jc w:val="center"/>
                    <w:rPr>
                      <w:b/>
                      <w:bCs/>
                      <w:szCs w:val="21"/>
                    </w:rPr>
                  </w:pPr>
                  <w:r>
                    <w:rPr>
                      <w:b/>
                      <w:bCs/>
                      <w:szCs w:val="21"/>
                    </w:rPr>
                    <w:t>用水部门</w:t>
                  </w:r>
                </w:p>
              </w:tc>
              <w:tc>
                <w:tcPr>
                  <w:tcW w:w="1123" w:type="dxa"/>
                  <w:vAlign w:val="center"/>
                </w:tcPr>
                <w:p>
                  <w:pPr>
                    <w:tabs>
                      <w:tab w:val="center" w:pos="4153"/>
                      <w:tab w:val="right" w:pos="8306"/>
                    </w:tabs>
                    <w:snapToGrid w:val="0"/>
                    <w:jc w:val="center"/>
                    <w:rPr>
                      <w:b/>
                      <w:bCs/>
                      <w:szCs w:val="21"/>
                    </w:rPr>
                  </w:pPr>
                  <w:r>
                    <w:rPr>
                      <w:b/>
                      <w:bCs/>
                      <w:szCs w:val="21"/>
                    </w:rPr>
                    <w:t>单位用量</w:t>
                  </w:r>
                </w:p>
              </w:tc>
              <w:tc>
                <w:tcPr>
                  <w:tcW w:w="1608" w:type="dxa"/>
                  <w:vAlign w:val="center"/>
                </w:tcPr>
                <w:p>
                  <w:pPr>
                    <w:tabs>
                      <w:tab w:val="center" w:pos="4153"/>
                      <w:tab w:val="right" w:pos="8306"/>
                    </w:tabs>
                    <w:snapToGrid w:val="0"/>
                    <w:jc w:val="center"/>
                    <w:rPr>
                      <w:b/>
                      <w:bCs/>
                      <w:szCs w:val="21"/>
                    </w:rPr>
                  </w:pPr>
                  <w:r>
                    <w:rPr>
                      <w:b/>
                      <w:bCs/>
                      <w:szCs w:val="21"/>
                    </w:rPr>
                    <w:t>人数或数量</w:t>
                  </w:r>
                </w:p>
              </w:tc>
              <w:tc>
                <w:tcPr>
                  <w:tcW w:w="1494" w:type="dxa"/>
                  <w:vAlign w:val="center"/>
                </w:tcPr>
                <w:p>
                  <w:pPr>
                    <w:tabs>
                      <w:tab w:val="center" w:pos="4153"/>
                      <w:tab w:val="right" w:pos="8306"/>
                    </w:tabs>
                    <w:snapToGrid w:val="0"/>
                    <w:jc w:val="center"/>
                    <w:rPr>
                      <w:b/>
                      <w:bCs/>
                      <w:szCs w:val="21"/>
                    </w:rPr>
                  </w:pPr>
                  <w:r>
                    <w:rPr>
                      <w:b/>
                      <w:bCs/>
                      <w:szCs w:val="21"/>
                    </w:rPr>
                    <w:t>日用水量</w:t>
                  </w:r>
                </w:p>
                <w:p>
                  <w:pPr>
                    <w:tabs>
                      <w:tab w:val="center" w:pos="4153"/>
                      <w:tab w:val="right" w:pos="8306"/>
                    </w:tabs>
                    <w:snapToGrid w:val="0"/>
                    <w:jc w:val="center"/>
                    <w:rPr>
                      <w:b/>
                      <w:bCs/>
                      <w:szCs w:val="21"/>
                    </w:rPr>
                  </w:pPr>
                  <w:r>
                    <w:rPr>
                      <w:b/>
                      <w:bCs/>
                      <w:szCs w:val="21"/>
                    </w:rPr>
                    <w:t>（m³/d）</w:t>
                  </w:r>
                </w:p>
              </w:tc>
              <w:tc>
                <w:tcPr>
                  <w:tcW w:w="2178" w:type="dxa"/>
                  <w:vAlign w:val="center"/>
                </w:tcPr>
                <w:p>
                  <w:pPr>
                    <w:tabs>
                      <w:tab w:val="center" w:pos="4153"/>
                      <w:tab w:val="right" w:pos="8306"/>
                    </w:tabs>
                    <w:snapToGrid w:val="0"/>
                    <w:jc w:val="center"/>
                    <w:rPr>
                      <w:b/>
                      <w:bCs/>
                      <w:szCs w:val="21"/>
                    </w:rPr>
                  </w:pPr>
                  <w:r>
                    <w:rPr>
                      <w:b/>
                      <w:bCs/>
                      <w:szCs w:val="21"/>
                    </w:rPr>
                    <w:t>年用水量</w:t>
                  </w:r>
                </w:p>
                <w:p>
                  <w:pPr>
                    <w:tabs>
                      <w:tab w:val="center" w:pos="4153"/>
                      <w:tab w:val="right" w:pos="8306"/>
                    </w:tabs>
                    <w:snapToGrid w:val="0"/>
                    <w:jc w:val="center"/>
                    <w:rPr>
                      <w:b/>
                      <w:bCs/>
                      <w:szCs w:val="21"/>
                    </w:rPr>
                  </w:pPr>
                  <w:r>
                    <w:rPr>
                      <w:b/>
                      <w:bCs/>
                      <w:szCs w:val="21"/>
                    </w:rPr>
                    <w:t>（m³/a）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3" w:type="dxa"/>
                  <w:vAlign w:val="center"/>
                </w:tcPr>
                <w:p>
                  <w:pPr>
                    <w:tabs>
                      <w:tab w:val="center" w:pos="4153"/>
                      <w:tab w:val="right" w:pos="8306"/>
                    </w:tabs>
                    <w:snapToGrid w:val="0"/>
                    <w:spacing w:line="360" w:lineRule="exact"/>
                    <w:jc w:val="center"/>
                    <w:rPr>
                      <w:szCs w:val="21"/>
                    </w:rPr>
                  </w:pPr>
                  <w:r>
                    <w:rPr>
                      <w:szCs w:val="21"/>
                    </w:rPr>
                    <w:t>1</w:t>
                  </w:r>
                </w:p>
              </w:tc>
              <w:tc>
                <w:tcPr>
                  <w:tcW w:w="1702" w:type="dxa"/>
                  <w:vAlign w:val="center"/>
                </w:tcPr>
                <w:p>
                  <w:pPr>
                    <w:tabs>
                      <w:tab w:val="center" w:pos="4153"/>
                      <w:tab w:val="right" w:pos="8306"/>
                    </w:tabs>
                    <w:snapToGrid w:val="0"/>
                    <w:spacing w:line="360" w:lineRule="exact"/>
                    <w:jc w:val="center"/>
                    <w:rPr>
                      <w:szCs w:val="21"/>
                    </w:rPr>
                  </w:pPr>
                  <w:r>
                    <w:rPr>
                      <w:szCs w:val="21"/>
                    </w:rPr>
                    <w:t>生活用水</w:t>
                  </w:r>
                </w:p>
              </w:tc>
              <w:tc>
                <w:tcPr>
                  <w:tcW w:w="1123" w:type="dxa"/>
                  <w:vAlign w:val="center"/>
                </w:tcPr>
                <w:p>
                  <w:pPr>
                    <w:tabs>
                      <w:tab w:val="center" w:pos="4153"/>
                      <w:tab w:val="right" w:pos="8306"/>
                    </w:tabs>
                    <w:snapToGrid w:val="0"/>
                    <w:spacing w:line="360" w:lineRule="exact"/>
                    <w:jc w:val="center"/>
                    <w:rPr>
                      <w:szCs w:val="21"/>
                    </w:rPr>
                  </w:pPr>
                  <w:r>
                    <w:rPr>
                      <w:szCs w:val="21"/>
                    </w:rPr>
                    <w:t>50L/人•d</w:t>
                  </w:r>
                </w:p>
              </w:tc>
              <w:tc>
                <w:tcPr>
                  <w:tcW w:w="1608" w:type="dxa"/>
                  <w:vAlign w:val="center"/>
                </w:tcPr>
                <w:p>
                  <w:pPr>
                    <w:tabs>
                      <w:tab w:val="center" w:pos="4153"/>
                      <w:tab w:val="right" w:pos="8306"/>
                    </w:tabs>
                    <w:snapToGrid w:val="0"/>
                    <w:spacing w:line="360" w:lineRule="exact"/>
                    <w:jc w:val="center"/>
                    <w:rPr>
                      <w:szCs w:val="21"/>
                    </w:rPr>
                  </w:pPr>
                  <w:r>
                    <w:rPr>
                      <w:rFonts w:hint="eastAsia"/>
                      <w:szCs w:val="21"/>
                      <w:lang w:val="en-US" w:eastAsia="zh-CN"/>
                    </w:rPr>
                    <w:t>3</w:t>
                  </w:r>
                  <w:r>
                    <w:rPr>
                      <w:szCs w:val="21"/>
                    </w:rPr>
                    <w:t>0人</w:t>
                  </w:r>
                </w:p>
              </w:tc>
              <w:tc>
                <w:tcPr>
                  <w:tcW w:w="1494" w:type="dxa"/>
                  <w:vAlign w:val="center"/>
                </w:tcPr>
                <w:p>
                  <w:pPr>
                    <w:tabs>
                      <w:tab w:val="center" w:pos="4153"/>
                      <w:tab w:val="right" w:pos="8306"/>
                    </w:tabs>
                    <w:snapToGrid w:val="0"/>
                    <w:spacing w:line="360" w:lineRule="exact"/>
                    <w:jc w:val="center"/>
                    <w:rPr>
                      <w:rFonts w:hint="eastAsia" w:eastAsia="宋体"/>
                      <w:szCs w:val="21"/>
                      <w:lang w:val="en-US" w:eastAsia="zh-CN"/>
                    </w:rPr>
                  </w:pPr>
                  <w:r>
                    <w:rPr>
                      <w:rFonts w:hint="eastAsia"/>
                      <w:szCs w:val="21"/>
                      <w:lang w:val="en-US" w:eastAsia="zh-CN"/>
                    </w:rPr>
                    <w:t>1.5</w:t>
                  </w:r>
                </w:p>
              </w:tc>
              <w:tc>
                <w:tcPr>
                  <w:tcW w:w="2178" w:type="dxa"/>
                  <w:vAlign w:val="center"/>
                </w:tcPr>
                <w:p>
                  <w:pPr>
                    <w:tabs>
                      <w:tab w:val="center" w:pos="4153"/>
                      <w:tab w:val="right" w:pos="8306"/>
                    </w:tabs>
                    <w:snapToGrid w:val="0"/>
                    <w:spacing w:line="360" w:lineRule="exact"/>
                    <w:jc w:val="center"/>
                    <w:rPr>
                      <w:szCs w:val="21"/>
                    </w:rPr>
                  </w:pPr>
                  <w:r>
                    <w:rPr>
                      <w:rFonts w:hint="eastAsia"/>
                      <w:szCs w:val="21"/>
                      <w:lang w:val="en-US" w:eastAsia="zh-CN"/>
                    </w:rPr>
                    <w:t>450</w:t>
                  </w:r>
                  <w:r>
                    <w:rPr>
                      <w:szCs w:val="21"/>
                    </w:rPr>
                    <w:t>（以3</w:t>
                  </w:r>
                  <w:r>
                    <w:rPr>
                      <w:rFonts w:hint="eastAsia"/>
                      <w:szCs w:val="21"/>
                      <w:lang w:val="en-US" w:eastAsia="zh-CN"/>
                    </w:rPr>
                    <w:t>0</w:t>
                  </w:r>
                  <w:r>
                    <w:rPr>
                      <w:szCs w:val="21"/>
                    </w:rPr>
                    <w:t>0天计）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3" w:type="dxa"/>
                  <w:vAlign w:val="center"/>
                </w:tcPr>
                <w:p>
                  <w:pPr>
                    <w:tabs>
                      <w:tab w:val="center" w:pos="4153"/>
                      <w:tab w:val="right" w:pos="8306"/>
                    </w:tabs>
                    <w:snapToGrid w:val="0"/>
                    <w:spacing w:line="360" w:lineRule="exact"/>
                    <w:jc w:val="center"/>
                    <w:rPr>
                      <w:szCs w:val="21"/>
                    </w:rPr>
                  </w:pPr>
                  <w:r>
                    <w:rPr>
                      <w:rFonts w:hint="eastAsia"/>
                      <w:szCs w:val="21"/>
                    </w:rPr>
                    <w:t>2</w:t>
                  </w:r>
                </w:p>
              </w:tc>
              <w:tc>
                <w:tcPr>
                  <w:tcW w:w="1702" w:type="dxa"/>
                  <w:vAlign w:val="center"/>
                </w:tcPr>
                <w:p>
                  <w:pPr>
                    <w:tabs>
                      <w:tab w:val="center" w:pos="4153"/>
                      <w:tab w:val="right" w:pos="8306"/>
                    </w:tabs>
                    <w:snapToGrid w:val="0"/>
                    <w:spacing w:line="360" w:lineRule="exact"/>
                    <w:jc w:val="center"/>
                    <w:rPr>
                      <w:szCs w:val="21"/>
                    </w:rPr>
                  </w:pPr>
                  <w:r>
                    <w:rPr>
                      <w:rFonts w:hint="eastAsia"/>
                      <w:szCs w:val="21"/>
                    </w:rPr>
                    <w:t>研磨</w:t>
                  </w:r>
                  <w:r>
                    <w:rPr>
                      <w:szCs w:val="21"/>
                    </w:rPr>
                    <w:t>用水</w:t>
                  </w:r>
                </w:p>
              </w:tc>
              <w:tc>
                <w:tcPr>
                  <w:tcW w:w="1123" w:type="dxa"/>
                  <w:vAlign w:val="center"/>
                </w:tcPr>
                <w:p>
                  <w:pPr>
                    <w:tabs>
                      <w:tab w:val="center" w:pos="4153"/>
                      <w:tab w:val="right" w:pos="8306"/>
                    </w:tabs>
                    <w:snapToGrid w:val="0"/>
                    <w:spacing w:line="360" w:lineRule="exact"/>
                    <w:jc w:val="center"/>
                    <w:rPr>
                      <w:szCs w:val="21"/>
                    </w:rPr>
                  </w:pPr>
                  <w:r>
                    <w:rPr>
                      <w:rFonts w:hint="eastAsia"/>
                      <w:szCs w:val="21"/>
                    </w:rPr>
                    <w:t>/</w:t>
                  </w:r>
                </w:p>
              </w:tc>
              <w:tc>
                <w:tcPr>
                  <w:tcW w:w="1608" w:type="dxa"/>
                  <w:vAlign w:val="center"/>
                </w:tcPr>
                <w:p>
                  <w:pPr>
                    <w:tabs>
                      <w:tab w:val="center" w:pos="4153"/>
                      <w:tab w:val="right" w:pos="8306"/>
                    </w:tabs>
                    <w:snapToGrid w:val="0"/>
                    <w:spacing w:line="360" w:lineRule="exact"/>
                    <w:jc w:val="center"/>
                    <w:rPr>
                      <w:szCs w:val="21"/>
                    </w:rPr>
                  </w:pPr>
                  <w:r>
                    <w:rPr>
                      <w:rFonts w:hint="eastAsia"/>
                      <w:szCs w:val="21"/>
                    </w:rPr>
                    <w:t>/</w:t>
                  </w:r>
                </w:p>
              </w:tc>
              <w:tc>
                <w:tcPr>
                  <w:tcW w:w="1494" w:type="dxa"/>
                  <w:vAlign w:val="center"/>
                </w:tcPr>
                <w:p>
                  <w:pPr>
                    <w:tabs>
                      <w:tab w:val="center" w:pos="4153"/>
                      <w:tab w:val="right" w:pos="8306"/>
                    </w:tabs>
                    <w:snapToGrid w:val="0"/>
                    <w:spacing w:line="360" w:lineRule="exact"/>
                    <w:jc w:val="center"/>
                    <w:rPr>
                      <w:rFonts w:hint="eastAsia" w:eastAsia="宋体"/>
                      <w:szCs w:val="21"/>
                      <w:lang w:eastAsia="zh-CN"/>
                    </w:rPr>
                  </w:pPr>
                  <w:r>
                    <w:rPr>
                      <w:rFonts w:hint="eastAsia"/>
                      <w:szCs w:val="21"/>
                      <w:lang w:val="en-US" w:eastAsia="zh-CN"/>
                    </w:rPr>
                    <w:t>3</w:t>
                  </w:r>
                </w:p>
              </w:tc>
              <w:tc>
                <w:tcPr>
                  <w:tcW w:w="2178" w:type="dxa"/>
                  <w:vAlign w:val="center"/>
                </w:tcPr>
                <w:p>
                  <w:pPr>
                    <w:tabs>
                      <w:tab w:val="center" w:pos="4153"/>
                      <w:tab w:val="right" w:pos="8306"/>
                    </w:tabs>
                    <w:snapToGrid w:val="0"/>
                    <w:spacing w:line="360" w:lineRule="exact"/>
                    <w:jc w:val="center"/>
                    <w:rPr>
                      <w:rFonts w:hint="eastAsia" w:eastAsia="宋体"/>
                      <w:szCs w:val="21"/>
                      <w:lang w:val="en-US" w:eastAsia="zh-CN"/>
                    </w:rPr>
                  </w:pPr>
                  <w:r>
                    <w:rPr>
                      <w:rFonts w:hint="eastAsia"/>
                      <w:szCs w:val="21"/>
                      <w:lang w:val="en-US" w:eastAsia="zh-CN"/>
                    </w:rPr>
                    <w:t>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trPr>
              <w:tc>
                <w:tcPr>
                  <w:tcW w:w="2415" w:type="dxa"/>
                  <w:gridSpan w:val="2"/>
                  <w:vAlign w:val="center"/>
                </w:tcPr>
                <w:p>
                  <w:pPr>
                    <w:tabs>
                      <w:tab w:val="center" w:pos="4153"/>
                      <w:tab w:val="right" w:pos="8306"/>
                    </w:tabs>
                    <w:snapToGrid w:val="0"/>
                    <w:spacing w:line="360" w:lineRule="exact"/>
                    <w:jc w:val="center"/>
                    <w:rPr>
                      <w:szCs w:val="21"/>
                    </w:rPr>
                  </w:pPr>
                  <w:r>
                    <w:rPr>
                      <w:szCs w:val="21"/>
                    </w:rPr>
                    <w:t>合计</w:t>
                  </w:r>
                </w:p>
              </w:tc>
              <w:tc>
                <w:tcPr>
                  <w:tcW w:w="1123" w:type="dxa"/>
                  <w:vAlign w:val="center"/>
                </w:tcPr>
                <w:p>
                  <w:pPr>
                    <w:tabs>
                      <w:tab w:val="center" w:pos="4153"/>
                      <w:tab w:val="right" w:pos="8306"/>
                    </w:tabs>
                    <w:snapToGrid w:val="0"/>
                    <w:spacing w:line="360" w:lineRule="exact"/>
                    <w:jc w:val="center"/>
                    <w:rPr>
                      <w:szCs w:val="21"/>
                    </w:rPr>
                  </w:pPr>
                  <w:r>
                    <w:rPr>
                      <w:szCs w:val="21"/>
                    </w:rPr>
                    <w:t>-</w:t>
                  </w:r>
                </w:p>
              </w:tc>
              <w:tc>
                <w:tcPr>
                  <w:tcW w:w="1608" w:type="dxa"/>
                  <w:vAlign w:val="center"/>
                </w:tcPr>
                <w:p>
                  <w:pPr>
                    <w:tabs>
                      <w:tab w:val="center" w:pos="4153"/>
                      <w:tab w:val="right" w:pos="8306"/>
                    </w:tabs>
                    <w:snapToGrid w:val="0"/>
                    <w:spacing w:line="360" w:lineRule="exact"/>
                    <w:jc w:val="center"/>
                    <w:rPr>
                      <w:szCs w:val="21"/>
                    </w:rPr>
                  </w:pPr>
                  <w:r>
                    <w:rPr>
                      <w:szCs w:val="21"/>
                    </w:rPr>
                    <w:t>-</w:t>
                  </w:r>
                </w:p>
              </w:tc>
              <w:tc>
                <w:tcPr>
                  <w:tcW w:w="1494" w:type="dxa"/>
                  <w:vAlign w:val="center"/>
                </w:tcPr>
                <w:p>
                  <w:pPr>
                    <w:tabs>
                      <w:tab w:val="center" w:pos="4153"/>
                      <w:tab w:val="right" w:pos="8306"/>
                    </w:tabs>
                    <w:snapToGrid w:val="0"/>
                    <w:spacing w:line="360" w:lineRule="exact"/>
                    <w:jc w:val="center"/>
                    <w:rPr>
                      <w:szCs w:val="21"/>
                    </w:rPr>
                  </w:pPr>
                  <w:r>
                    <w:rPr>
                      <w:rFonts w:hint="eastAsia"/>
                      <w:szCs w:val="21"/>
                      <w:lang w:val="en-US" w:eastAsia="zh-CN"/>
                    </w:rPr>
                    <w:t>4</w:t>
                  </w:r>
                  <w:r>
                    <w:rPr>
                      <w:szCs w:val="21"/>
                    </w:rPr>
                    <w:t>.5</w:t>
                  </w:r>
                </w:p>
              </w:tc>
              <w:tc>
                <w:tcPr>
                  <w:tcW w:w="2178" w:type="dxa"/>
                  <w:vAlign w:val="center"/>
                </w:tcPr>
                <w:p>
                  <w:pPr>
                    <w:tabs>
                      <w:tab w:val="center" w:pos="4153"/>
                      <w:tab w:val="right" w:pos="8306"/>
                    </w:tabs>
                    <w:snapToGrid w:val="0"/>
                    <w:spacing w:line="360" w:lineRule="exact"/>
                    <w:jc w:val="center"/>
                    <w:rPr>
                      <w:rFonts w:hint="eastAsia" w:eastAsia="宋体"/>
                      <w:szCs w:val="21"/>
                      <w:lang w:eastAsia="zh-CN"/>
                    </w:rPr>
                  </w:pPr>
                  <w:r>
                    <w:rPr>
                      <w:rFonts w:hint="eastAsia"/>
                      <w:szCs w:val="21"/>
                      <w:lang w:eastAsia="zh-CN"/>
                    </w:rPr>
                    <w:t>1350</w:t>
                  </w:r>
                </w:p>
              </w:tc>
            </w:tr>
          </w:tbl>
          <w:p>
            <w:pPr>
              <w:adjustRightInd w:val="0"/>
              <w:snapToGrid w:val="0"/>
              <w:spacing w:line="360" w:lineRule="auto"/>
              <w:ind w:firstLine="480" w:firstLineChars="200"/>
              <w:rPr>
                <w:sz w:val="24"/>
              </w:rPr>
            </w:pPr>
            <w:r>
              <w:rPr>
                <w:sz w:val="24"/>
              </w:rPr>
              <w:t>（2）排水</w:t>
            </w:r>
          </w:p>
          <w:p>
            <w:pPr>
              <w:adjustRightInd w:val="0"/>
              <w:snapToGrid w:val="0"/>
              <w:spacing w:line="360" w:lineRule="auto"/>
              <w:ind w:firstLine="480" w:firstLineChars="200"/>
              <w:rPr>
                <w:sz w:val="24"/>
                <w:u w:val="none"/>
              </w:rPr>
            </w:pPr>
            <w:r>
              <w:rPr>
                <w:sz w:val="24"/>
              </w:rPr>
              <w:t>本项目生产过程</w:t>
            </w:r>
            <w:r>
              <w:rPr>
                <w:rFonts w:hint="eastAsia"/>
                <w:sz w:val="24"/>
              </w:rPr>
              <w:t>中</w:t>
            </w:r>
            <w:r>
              <w:rPr>
                <w:sz w:val="24"/>
              </w:rPr>
              <w:t>生产废水</w:t>
            </w:r>
            <w:r>
              <w:rPr>
                <w:rFonts w:hint="eastAsia"/>
                <w:sz w:val="24"/>
              </w:rPr>
              <w:t>循环</w:t>
            </w:r>
            <w:r>
              <w:rPr>
                <w:sz w:val="24"/>
              </w:rPr>
              <w:t>使用</w:t>
            </w:r>
            <w:r>
              <w:rPr>
                <w:sz w:val="24"/>
                <w:u w:val="none"/>
              </w:rPr>
              <w:t>不外排</w:t>
            </w:r>
            <w:r>
              <w:rPr>
                <w:rFonts w:hint="eastAsia"/>
                <w:sz w:val="24"/>
                <w:u w:val="none"/>
                <w:lang w:eastAsia="zh-CN"/>
              </w:rPr>
              <w:t>；</w:t>
            </w:r>
            <w:r>
              <w:rPr>
                <w:rFonts w:hint="eastAsia"/>
                <w:sz w:val="24"/>
                <w:u w:val="none"/>
                <w:lang w:val="en-US" w:eastAsia="zh-CN"/>
              </w:rPr>
              <w:t>生活污水经化粪池处理后用作农肥</w:t>
            </w:r>
            <w:r>
              <w:rPr>
                <w:sz w:val="24"/>
                <w:u w:val="none"/>
              </w:rPr>
              <w:t>。</w:t>
            </w:r>
          </w:p>
          <w:p>
            <w:pPr>
              <w:spacing w:line="360" w:lineRule="auto"/>
              <w:ind w:firstLine="480" w:firstLineChars="200"/>
              <w:rPr>
                <w:sz w:val="24"/>
              </w:rPr>
            </w:pPr>
            <w:r>
              <w:rPr>
                <w:sz w:val="24"/>
              </w:rPr>
              <w:t>（3）供电系统</w:t>
            </w:r>
          </w:p>
          <w:p>
            <w:pPr>
              <w:spacing w:line="360" w:lineRule="auto"/>
              <w:ind w:firstLine="480" w:firstLineChars="200"/>
              <w:rPr>
                <w:sz w:val="24"/>
              </w:rPr>
            </w:pPr>
            <w:r>
              <w:rPr>
                <w:sz w:val="24"/>
              </w:rPr>
              <w:t>市政供电，供电室低压配电间内安装低压电力电容器进行无功功率补偿；变压器高压端采用负荷开关加熔断器保护。</w:t>
            </w:r>
          </w:p>
          <w:p>
            <w:pPr>
              <w:autoSpaceDE w:val="0"/>
              <w:autoSpaceDN w:val="0"/>
              <w:adjustRightInd w:val="0"/>
              <w:spacing w:line="360" w:lineRule="auto"/>
              <w:ind w:firstLine="480" w:firstLineChars="200"/>
              <w:rPr>
                <w:sz w:val="24"/>
                <w:lang w:val="zh-CN"/>
              </w:rPr>
            </w:pPr>
            <w:r>
              <w:rPr>
                <w:sz w:val="24"/>
                <w:lang w:val="zh-CN"/>
              </w:rPr>
              <w:t>（4）平面布置</w:t>
            </w:r>
          </w:p>
          <w:p>
            <w:pPr>
              <w:adjustRightInd w:val="0"/>
              <w:snapToGrid w:val="0"/>
              <w:spacing w:line="360" w:lineRule="auto"/>
              <w:ind w:firstLine="480" w:firstLineChars="200"/>
              <w:rPr>
                <w:sz w:val="24"/>
              </w:rPr>
            </w:pPr>
            <w:r>
              <w:rPr>
                <w:sz w:val="24"/>
              </w:rPr>
              <w:t>本项目选址位于湖南省邵阳市</w:t>
            </w:r>
            <w:r>
              <w:rPr>
                <w:rFonts w:hint="eastAsia"/>
                <w:sz w:val="24"/>
                <w:lang w:eastAsia="zh-CN"/>
              </w:rPr>
              <w:t>邵东市仙槎桥镇平阳村</w:t>
            </w:r>
            <w:r>
              <w:rPr>
                <w:sz w:val="24"/>
              </w:rPr>
              <w:t>。场地呈矩形，厂内出入口</w:t>
            </w:r>
            <w:r>
              <w:rPr>
                <w:rFonts w:hint="eastAsia"/>
                <w:sz w:val="24"/>
                <w:lang w:val="en-US" w:eastAsia="zh-CN"/>
              </w:rPr>
              <w:t>位于西侧，</w:t>
            </w:r>
            <w:r>
              <w:rPr>
                <w:sz w:val="24"/>
              </w:rPr>
              <w:t>正对</w:t>
            </w:r>
            <w:r>
              <w:rPr>
                <w:rFonts w:hint="eastAsia"/>
                <w:sz w:val="24"/>
                <w:lang w:val="en-US" w:eastAsia="zh-CN"/>
              </w:rPr>
              <w:t>乡村</w:t>
            </w:r>
            <w:r>
              <w:rPr>
                <w:sz w:val="24"/>
              </w:rPr>
              <w:t>道路；</w:t>
            </w:r>
            <w:r>
              <w:rPr>
                <w:rFonts w:hint="eastAsia"/>
                <w:sz w:val="24"/>
                <w:lang w:val="en-US" w:eastAsia="zh-CN"/>
              </w:rPr>
              <w:t>西面为</w:t>
            </w:r>
            <w:r>
              <w:rPr>
                <w:rFonts w:hint="eastAsia"/>
                <w:sz w:val="24"/>
              </w:rPr>
              <w:t>综合楼</w:t>
            </w:r>
            <w:r>
              <w:rPr>
                <w:rFonts w:hint="eastAsia"/>
                <w:sz w:val="24"/>
                <w:lang w:val="en-US" w:eastAsia="zh-CN"/>
              </w:rPr>
              <w:t>，东面为2栋生产厂房</w:t>
            </w:r>
            <w:r>
              <w:rPr>
                <w:rFonts w:hint="eastAsia"/>
                <w:sz w:val="24"/>
                <w:lang w:eastAsia="zh-CN"/>
              </w:rPr>
              <w:t>，</w:t>
            </w:r>
            <w:r>
              <w:rPr>
                <w:rFonts w:hint="eastAsia"/>
                <w:sz w:val="24"/>
                <w:lang w:val="en-US" w:eastAsia="zh-CN"/>
              </w:rPr>
              <w:t>厂房包括</w:t>
            </w:r>
            <w:r>
              <w:rPr>
                <w:sz w:val="24"/>
              </w:rPr>
              <w:t>研磨</w:t>
            </w:r>
            <w:r>
              <w:rPr>
                <w:rFonts w:hint="eastAsia"/>
                <w:sz w:val="24"/>
              </w:rPr>
              <w:t>区</w:t>
            </w:r>
            <w:r>
              <w:rPr>
                <w:sz w:val="24"/>
              </w:rPr>
              <w:t>、锻压</w:t>
            </w:r>
            <w:r>
              <w:rPr>
                <w:rFonts w:hint="eastAsia"/>
                <w:sz w:val="24"/>
              </w:rPr>
              <w:t>区</w:t>
            </w:r>
            <w:r>
              <w:rPr>
                <w:sz w:val="24"/>
              </w:rPr>
              <w:t>、</w:t>
            </w:r>
            <w:r>
              <w:rPr>
                <w:rFonts w:hint="eastAsia"/>
                <w:sz w:val="24"/>
              </w:rPr>
              <w:t>抛磨</w:t>
            </w:r>
            <w:r>
              <w:rPr>
                <w:sz w:val="24"/>
              </w:rPr>
              <w:t>车间、</w:t>
            </w:r>
            <w:r>
              <w:rPr>
                <w:rFonts w:hint="eastAsia"/>
                <w:sz w:val="24"/>
              </w:rPr>
              <w:t>原料区、</w:t>
            </w:r>
            <w:r>
              <w:rPr>
                <w:rFonts w:hint="eastAsia"/>
                <w:sz w:val="24"/>
                <w:lang w:val="en-US" w:eastAsia="zh-CN"/>
              </w:rPr>
              <w:t>包装区等</w:t>
            </w:r>
            <w:r>
              <w:rPr>
                <w:sz w:val="24"/>
              </w:rPr>
              <w:t>，</w:t>
            </w:r>
            <w:r>
              <w:rPr>
                <w:sz w:val="24"/>
                <w:lang w:val="zh-CN"/>
              </w:rPr>
              <w:t>平面布置详见附图</w:t>
            </w:r>
            <w:r>
              <w:rPr>
                <w:rFonts w:hint="eastAsia"/>
                <w:sz w:val="24"/>
                <w:lang w:val="en-US" w:eastAsia="zh-CN"/>
              </w:rPr>
              <w:t>2</w:t>
            </w:r>
            <w:r>
              <w:rPr>
                <w:sz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64" w:type="dxa"/>
            <w:gridSpan w:val="7"/>
            <w:vAlign w:val="top"/>
          </w:tcPr>
          <w:p>
            <w:pPr>
              <w:spacing w:line="360" w:lineRule="auto"/>
              <w:outlineLvl w:val="1"/>
              <w:rPr>
                <w:b/>
                <w:sz w:val="28"/>
                <w:szCs w:val="28"/>
              </w:rPr>
            </w:pPr>
            <w:bookmarkStart w:id="5" w:name="_Toc514143744"/>
            <w:bookmarkStart w:id="6" w:name="_Toc3429"/>
            <w:bookmarkStart w:id="7" w:name="_Toc62035347"/>
            <w:bookmarkStart w:id="8" w:name="_Toc280107770"/>
            <w:bookmarkStart w:id="9" w:name="_Toc274291807"/>
            <w:bookmarkStart w:id="10" w:name="_Toc230535071"/>
            <w:bookmarkStart w:id="11" w:name="_Toc227376207"/>
            <w:bookmarkStart w:id="12" w:name="_Toc227551026"/>
            <w:bookmarkStart w:id="13" w:name="_Toc457203500"/>
            <w:bookmarkStart w:id="14" w:name="_Toc327860462"/>
            <w:bookmarkStart w:id="15" w:name="_Toc306975993"/>
            <w:bookmarkStart w:id="16" w:name="_Toc274291671"/>
            <w:bookmarkStart w:id="17" w:name="_Toc230535073"/>
            <w:bookmarkStart w:id="18" w:name="_Toc234318142"/>
            <w:bookmarkStart w:id="19" w:name="_Toc216596463"/>
            <w:bookmarkStart w:id="20" w:name="_Toc228594265"/>
            <w:bookmarkStart w:id="21" w:name="_Toc270581228"/>
            <w:bookmarkStart w:id="22" w:name="_Toc248811589"/>
            <w:bookmarkStart w:id="23" w:name="_Toc263088953"/>
            <w:bookmarkStart w:id="24" w:name="_Toc262108308"/>
            <w:bookmarkStart w:id="25" w:name="_Toc263089100"/>
            <w:r>
              <w:rPr>
                <w:b/>
                <w:sz w:val="28"/>
                <w:szCs w:val="28"/>
              </w:rPr>
              <w:t>与本项目有关的原有污染源情况及主要的环境问题：</w:t>
            </w:r>
            <w:bookmarkEnd w:id="5"/>
            <w:r>
              <w:rPr>
                <w:b/>
                <w:sz w:val="28"/>
                <w:szCs w:val="28"/>
              </w:rPr>
              <w:t xml:space="preserve"> </w:t>
            </w:r>
          </w:p>
          <w:p>
            <w:pPr>
              <w:widowControl w:val="0"/>
              <w:wordWrap/>
              <w:adjustRightInd w:val="0"/>
              <w:snapToGrid w:val="0"/>
              <w:spacing w:line="480" w:lineRule="exact"/>
              <w:ind w:left="0" w:leftChars="0" w:right="0" w:firstLine="480" w:firstLineChars="200"/>
              <w:outlineLvl w:val="9"/>
              <w:rPr>
                <w:rFonts w:hint="default" w:ascii="Times New Roman" w:hAnsi="Times New Roman" w:eastAsia="宋体" w:cs="Times New Roman"/>
                <w:sz w:val="24"/>
              </w:rPr>
            </w:pPr>
            <w:r>
              <w:rPr>
                <w:rFonts w:hint="eastAsia"/>
                <w:sz w:val="24"/>
              </w:rPr>
              <w:t>邵东县兴顺五金工具厂年产180万把扳手生产线建设项目</w:t>
            </w:r>
            <w:r>
              <w:rPr>
                <w:rFonts w:hint="default" w:ascii="Times New Roman" w:hAnsi="Times New Roman" w:eastAsia="宋体" w:cs="Times New Roman"/>
                <w:sz w:val="24"/>
              </w:rPr>
              <w:t>已运营，运行以来未受到周边居民投诉。</w:t>
            </w:r>
          </w:p>
          <w:p>
            <w:pPr>
              <w:widowControl w:val="0"/>
              <w:wordWrap/>
              <w:adjustRightInd w:val="0"/>
              <w:snapToGrid w:val="0"/>
              <w:spacing w:line="480" w:lineRule="exact"/>
              <w:ind w:left="0" w:leftChars="0" w:right="0"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1、工艺流程</w:t>
            </w:r>
          </w:p>
          <w:p>
            <w:pPr>
              <w:widowControl w:val="0"/>
              <w:wordWrap/>
              <w:adjustRightInd w:val="0"/>
              <w:snapToGrid w:val="0"/>
              <w:spacing w:line="480" w:lineRule="exact"/>
              <w:ind w:left="0" w:leftChars="0" w:right="0"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现有工程工艺流程详见</w:t>
            </w:r>
            <w:r>
              <w:rPr>
                <w:rFonts w:hint="default" w:ascii="Times New Roman" w:hAnsi="Times New Roman" w:eastAsia="宋体" w:cs="Times New Roman"/>
                <w:sz w:val="24"/>
                <w:highlight w:val="none"/>
                <w:lang w:eastAsia="zh-CN"/>
              </w:rPr>
              <w:t>工程分析</w:t>
            </w:r>
            <w:r>
              <w:rPr>
                <w:rFonts w:hint="default" w:ascii="Times New Roman" w:hAnsi="Times New Roman" w:eastAsia="宋体" w:cs="Times New Roman"/>
                <w:sz w:val="24"/>
              </w:rPr>
              <w:t>。</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2、现有工程营运期污染物产生、治理及排放情况</w:t>
            </w:r>
          </w:p>
          <w:p>
            <w:pPr>
              <w:widowControl w:val="0"/>
              <w:wordWrap/>
              <w:adjustRightInd w:val="0"/>
              <w:snapToGrid w:val="0"/>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z w:val="24"/>
              </w:rPr>
              <w:t>根据现场勘查可知：</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2.1废气</w:t>
            </w:r>
          </w:p>
          <w:p>
            <w:pPr>
              <w:widowControl w:val="0"/>
              <w:wordWrap/>
              <w:adjustRightInd w:val="0"/>
              <w:snapToGrid w:val="0"/>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本项目产生的废气主要是</w:t>
            </w:r>
            <w:r>
              <w:rPr>
                <w:rFonts w:hint="eastAsia" w:cs="Times New Roman"/>
                <w:snapToGrid w:val="0"/>
                <w:kern w:val="0"/>
                <w:sz w:val="24"/>
                <w:lang w:eastAsia="zh-CN"/>
              </w:rPr>
              <w:t>打磨</w:t>
            </w:r>
            <w:r>
              <w:rPr>
                <w:rFonts w:hint="eastAsia" w:ascii="Times New Roman" w:hAnsi="Times New Roman" w:cs="Times New Roman"/>
                <w:spacing w:val="6"/>
                <w:sz w:val="24"/>
                <w:lang w:eastAsia="zh-CN"/>
              </w:rPr>
              <w:t>抛光粉尘</w:t>
            </w:r>
            <w:r>
              <w:rPr>
                <w:rFonts w:hint="default" w:ascii="Times New Roman" w:hAnsi="Times New Roman" w:eastAsia="宋体" w:cs="Times New Roman"/>
                <w:snapToGrid w:val="0"/>
                <w:kern w:val="0"/>
                <w:sz w:val="24"/>
              </w:rPr>
              <w:t>。</w:t>
            </w:r>
          </w:p>
          <w:p>
            <w:pPr>
              <w:widowControl w:val="0"/>
              <w:wordWrap/>
              <w:adjustRightInd w:val="0"/>
              <w:snapToGrid w:val="0"/>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（1）项目已采取的治理措施</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snapToGrid w:val="0"/>
                <w:color w:val="auto"/>
                <w:kern w:val="0"/>
                <w:sz w:val="24"/>
                <w:highlight w:val="yellow"/>
              </w:rPr>
            </w:pPr>
            <w:r>
              <w:rPr>
                <w:rFonts w:hint="default" w:ascii="Times New Roman" w:hAnsi="Times New Roman" w:eastAsia="宋体" w:cs="Times New Roman"/>
                <w:snapToGrid w:val="0"/>
                <w:kern w:val="0"/>
                <w:sz w:val="24"/>
              </w:rPr>
              <w:t>经现场勘查，</w:t>
            </w:r>
            <w:r>
              <w:rPr>
                <w:rFonts w:hint="eastAsia" w:cs="Times New Roman"/>
                <w:snapToGrid w:val="0"/>
                <w:kern w:val="0"/>
                <w:sz w:val="24"/>
                <w:lang w:eastAsia="zh-CN"/>
              </w:rPr>
              <w:t>打磨</w:t>
            </w:r>
            <w:r>
              <w:rPr>
                <w:rFonts w:hint="eastAsia" w:ascii="Times New Roman" w:hAnsi="Times New Roman" w:cs="Times New Roman"/>
                <w:snapToGrid w:val="0"/>
                <w:kern w:val="0"/>
                <w:sz w:val="24"/>
                <w:lang w:eastAsia="zh-CN"/>
              </w:rPr>
              <w:t>抛光粉</w:t>
            </w:r>
            <w:r>
              <w:rPr>
                <w:rFonts w:hint="default" w:ascii="Times New Roman" w:hAnsi="Times New Roman" w:eastAsia="宋体" w:cs="Times New Roman"/>
                <w:color w:val="auto"/>
                <w:spacing w:val="6"/>
                <w:sz w:val="24"/>
                <w:highlight w:val="none"/>
              </w:rPr>
              <w:t>尘</w:t>
            </w:r>
            <w:r>
              <w:rPr>
                <w:rFonts w:hint="eastAsia" w:ascii="Times New Roman" w:hAnsi="Times New Roman" w:eastAsia="宋体" w:cs="Times New Roman"/>
                <w:snapToGrid w:val="0"/>
                <w:color w:val="auto"/>
                <w:kern w:val="0"/>
                <w:sz w:val="24"/>
                <w:lang w:eastAsia="zh-CN"/>
              </w:rPr>
              <w:t>经</w:t>
            </w:r>
            <w:r>
              <w:rPr>
                <w:rFonts w:hint="eastAsia" w:cs="Times New Roman"/>
                <w:snapToGrid w:val="0"/>
                <w:color w:val="auto"/>
                <w:kern w:val="0"/>
                <w:sz w:val="24"/>
                <w:lang w:eastAsia="zh-CN"/>
              </w:rPr>
              <w:t>湿法除尘后外排</w:t>
            </w:r>
            <w:r>
              <w:rPr>
                <w:rFonts w:hint="default" w:ascii="Times New Roman" w:hAnsi="Times New Roman" w:eastAsia="宋体" w:cs="Times New Roman"/>
                <w:snapToGrid w:val="0"/>
                <w:color w:val="auto"/>
                <w:kern w:val="0"/>
                <w:sz w:val="24"/>
                <w:highlight w:val="none"/>
              </w:rPr>
              <w:t>。</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 xml:space="preserve">（2）存在的问题 </w:t>
            </w:r>
          </w:p>
          <w:p>
            <w:pPr>
              <w:widowControl w:val="0"/>
              <w:wordWrap/>
              <w:spacing w:line="480" w:lineRule="exact"/>
              <w:ind w:left="0" w:leftChars="0" w:right="0" w:firstLine="480" w:firstLineChars="200"/>
              <w:outlineLvl w:val="9"/>
              <w:rPr>
                <w:rFonts w:hint="default" w:ascii="Times New Roman" w:hAnsi="Times New Roman" w:eastAsia="宋体" w:cs="Times New Roman"/>
                <w:color w:val="FF0000"/>
                <w:spacing w:val="6"/>
                <w:sz w:val="24"/>
              </w:rPr>
            </w:pPr>
            <w:r>
              <w:rPr>
                <w:rFonts w:hint="eastAsia" w:cs="Times New Roman"/>
                <w:snapToGrid w:val="0"/>
                <w:kern w:val="0"/>
                <w:sz w:val="24"/>
                <w:lang w:eastAsia="zh-CN"/>
              </w:rPr>
              <w:t>打磨</w:t>
            </w:r>
            <w:r>
              <w:rPr>
                <w:rFonts w:hint="eastAsia" w:ascii="Times New Roman" w:hAnsi="Times New Roman" w:cs="Times New Roman"/>
                <w:snapToGrid w:val="0"/>
                <w:color w:val="auto"/>
                <w:kern w:val="0"/>
                <w:sz w:val="24"/>
                <w:lang w:eastAsia="zh-CN"/>
              </w:rPr>
              <w:t>抛光</w:t>
            </w:r>
            <w:r>
              <w:rPr>
                <w:rFonts w:hint="eastAsia" w:cs="Times New Roman"/>
                <w:snapToGrid w:val="0"/>
                <w:color w:val="auto"/>
                <w:kern w:val="0"/>
                <w:sz w:val="24"/>
                <w:lang w:eastAsia="zh-CN"/>
              </w:rPr>
              <w:t>系统封闭不严</w:t>
            </w:r>
            <w:r>
              <w:rPr>
                <w:rFonts w:hint="default" w:ascii="Times New Roman" w:hAnsi="Times New Roman" w:eastAsia="宋体" w:cs="Times New Roman"/>
                <w:snapToGrid w:val="0"/>
                <w:color w:val="auto"/>
                <w:kern w:val="0"/>
                <w:sz w:val="24"/>
              </w:rPr>
              <w:t>，</w:t>
            </w:r>
            <w:r>
              <w:rPr>
                <w:rFonts w:hint="eastAsia" w:cs="Times New Roman"/>
                <w:snapToGrid w:val="0"/>
                <w:color w:val="auto"/>
                <w:kern w:val="0"/>
                <w:sz w:val="24"/>
                <w:lang w:eastAsia="zh-CN"/>
              </w:rPr>
              <w:t>存在废气泄漏情况</w:t>
            </w:r>
            <w:r>
              <w:rPr>
                <w:rFonts w:hint="default" w:ascii="Times New Roman" w:hAnsi="Times New Roman" w:eastAsia="宋体" w:cs="Times New Roman"/>
                <w:snapToGrid w:val="0"/>
                <w:color w:val="auto"/>
                <w:kern w:val="0"/>
                <w:sz w:val="24"/>
              </w:rPr>
              <w:t>。</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bCs/>
                <w:snapToGrid w:val="0"/>
                <w:kern w:val="0"/>
                <w:sz w:val="24"/>
              </w:rPr>
            </w:pPr>
            <w:r>
              <w:rPr>
                <w:rFonts w:hint="default" w:ascii="Times New Roman" w:hAnsi="Times New Roman" w:eastAsia="宋体" w:cs="Times New Roman"/>
                <w:bCs/>
                <w:snapToGrid w:val="0"/>
                <w:kern w:val="0"/>
                <w:sz w:val="24"/>
              </w:rPr>
              <w:t>（3）需采取的治理措施</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bCs/>
                <w:color w:val="auto"/>
                <w:sz w:val="24"/>
              </w:rPr>
            </w:pPr>
            <w:r>
              <w:rPr>
                <w:rFonts w:hint="eastAsia" w:cs="Times New Roman"/>
                <w:snapToGrid w:val="0"/>
                <w:color w:val="auto"/>
                <w:kern w:val="0"/>
                <w:sz w:val="24"/>
                <w:lang w:eastAsia="zh-CN"/>
              </w:rPr>
              <w:t>湿法除尘系统需封闭</w:t>
            </w:r>
            <w:r>
              <w:rPr>
                <w:rFonts w:hint="default" w:ascii="Times New Roman" w:hAnsi="Times New Roman" w:eastAsia="宋体" w:cs="Times New Roman"/>
                <w:snapToGrid w:val="0"/>
                <w:color w:val="auto"/>
                <w:kern w:val="0"/>
                <w:sz w:val="24"/>
              </w:rPr>
              <w:t>，</w:t>
            </w:r>
            <w:r>
              <w:rPr>
                <w:rFonts w:hint="eastAsia" w:cs="Times New Roman"/>
                <w:snapToGrid w:val="0"/>
                <w:color w:val="auto"/>
                <w:kern w:val="0"/>
                <w:sz w:val="24"/>
                <w:lang w:eastAsia="zh-CN"/>
              </w:rPr>
              <w:t>确保</w:t>
            </w:r>
            <w:r>
              <w:rPr>
                <w:rFonts w:hint="eastAsia" w:cs="Times New Roman"/>
                <w:snapToGrid w:val="0"/>
                <w:kern w:val="0"/>
                <w:sz w:val="24"/>
                <w:lang w:eastAsia="zh-CN"/>
              </w:rPr>
              <w:t>打磨</w:t>
            </w:r>
            <w:r>
              <w:rPr>
                <w:rFonts w:hint="eastAsia" w:ascii="Times New Roman" w:hAnsi="Times New Roman" w:cs="Times New Roman"/>
                <w:snapToGrid w:val="0"/>
                <w:color w:val="auto"/>
                <w:kern w:val="0"/>
                <w:sz w:val="24"/>
                <w:lang w:eastAsia="zh-CN"/>
              </w:rPr>
              <w:t>抛光</w:t>
            </w:r>
            <w:r>
              <w:rPr>
                <w:rFonts w:hint="eastAsia" w:cs="Times New Roman"/>
                <w:snapToGrid w:val="0"/>
                <w:color w:val="auto"/>
                <w:kern w:val="0"/>
                <w:sz w:val="24"/>
                <w:lang w:eastAsia="zh-CN"/>
              </w:rPr>
              <w:t>废气全部经除尘系统处理后外排</w:t>
            </w:r>
            <w:r>
              <w:rPr>
                <w:rFonts w:hint="eastAsia" w:ascii="Times New Roman" w:hAnsi="Times New Roman" w:eastAsia="宋体" w:cs="Times New Roman"/>
                <w:bCs/>
                <w:color w:val="auto"/>
                <w:sz w:val="24"/>
                <w:lang w:eastAsia="zh-CN"/>
              </w:rPr>
              <w:t>。</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2.2废水</w:t>
            </w:r>
          </w:p>
          <w:p>
            <w:pPr>
              <w:widowControl w:val="0"/>
              <w:wordWrap/>
              <w:adjustRightInd w:val="0"/>
              <w:snapToGrid w:val="0"/>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（1）项目已采取的治理措施</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snapToGrid w:val="0"/>
                <w:color w:val="auto"/>
                <w:kern w:val="0"/>
                <w:sz w:val="24"/>
                <w:highlight w:val="yellow"/>
              </w:rPr>
            </w:pPr>
            <w:r>
              <w:rPr>
                <w:rFonts w:hint="default" w:ascii="Times New Roman" w:hAnsi="Times New Roman" w:eastAsia="宋体" w:cs="Times New Roman"/>
                <w:snapToGrid w:val="0"/>
                <w:kern w:val="0"/>
                <w:sz w:val="24"/>
              </w:rPr>
              <w:t>本</w:t>
            </w:r>
            <w:r>
              <w:rPr>
                <w:rFonts w:hint="default" w:ascii="Times New Roman" w:hAnsi="Times New Roman" w:eastAsia="宋体" w:cs="Times New Roman"/>
                <w:sz w:val="24"/>
              </w:rPr>
              <w:t>项目生活污水</w:t>
            </w:r>
            <w:r>
              <w:rPr>
                <w:rFonts w:hint="default" w:ascii="Times New Roman" w:hAnsi="Times New Roman" w:eastAsia="宋体" w:cs="Times New Roman"/>
                <w:kern w:val="0"/>
                <w:sz w:val="24"/>
              </w:rPr>
              <w:t>经</w:t>
            </w:r>
            <w:r>
              <w:rPr>
                <w:rFonts w:hint="default" w:ascii="Times New Roman" w:hAnsi="Times New Roman" w:eastAsia="宋体" w:cs="Times New Roman"/>
                <w:sz w:val="24"/>
              </w:rPr>
              <w:t>化粪池处理后</w:t>
            </w:r>
            <w:r>
              <w:rPr>
                <w:rFonts w:hint="default" w:ascii="Times New Roman" w:hAnsi="Times New Roman" w:eastAsia="宋体" w:cs="Times New Roman"/>
                <w:sz w:val="24"/>
                <w:lang w:eastAsia="zh-CN"/>
              </w:rPr>
              <w:t>用于</w:t>
            </w:r>
            <w:r>
              <w:rPr>
                <w:rFonts w:hint="eastAsia" w:ascii="Times New Roman" w:hAnsi="Times New Roman" w:cs="Times New Roman"/>
                <w:sz w:val="24"/>
                <w:lang w:eastAsia="zh-CN"/>
              </w:rPr>
              <w:t>周围</w:t>
            </w:r>
            <w:r>
              <w:rPr>
                <w:rFonts w:hint="default" w:ascii="Times New Roman" w:hAnsi="Times New Roman" w:eastAsia="宋体" w:cs="Times New Roman"/>
                <w:sz w:val="24"/>
                <w:lang w:eastAsia="zh-CN"/>
              </w:rPr>
              <w:t>农肥</w:t>
            </w:r>
            <w:r>
              <w:rPr>
                <w:rFonts w:hint="eastAsia" w:cs="Times New Roman"/>
                <w:sz w:val="24"/>
                <w:lang w:eastAsia="zh-CN"/>
              </w:rPr>
              <w:t>，</w:t>
            </w:r>
            <w:r>
              <w:rPr>
                <w:rFonts w:hint="default" w:ascii="Times New Roman" w:hAnsi="Times New Roman" w:eastAsia="宋体" w:cs="Times New Roman"/>
                <w:snapToGrid w:val="0"/>
                <w:kern w:val="0"/>
                <w:sz w:val="24"/>
              </w:rPr>
              <w:t>生产废水</w:t>
            </w:r>
            <w:r>
              <w:rPr>
                <w:rFonts w:hint="eastAsia" w:cs="Times New Roman"/>
                <w:snapToGrid w:val="0"/>
                <w:kern w:val="0"/>
                <w:sz w:val="24"/>
                <w:lang w:eastAsia="zh-CN"/>
              </w:rPr>
              <w:t>循环使用</w:t>
            </w:r>
            <w:r>
              <w:rPr>
                <w:rFonts w:hint="default" w:ascii="Times New Roman" w:hAnsi="Times New Roman" w:eastAsia="宋体" w:cs="Times New Roman"/>
                <w:snapToGrid w:val="0"/>
                <w:kern w:val="0"/>
                <w:sz w:val="24"/>
              </w:rPr>
              <w:t>，</w:t>
            </w:r>
            <w:r>
              <w:rPr>
                <w:rFonts w:hint="eastAsia" w:cs="Times New Roman"/>
                <w:snapToGrid w:val="0"/>
                <w:kern w:val="0"/>
                <w:sz w:val="24"/>
                <w:lang w:eastAsia="zh-CN"/>
              </w:rPr>
              <w:t>不外排</w:t>
            </w:r>
            <w:r>
              <w:rPr>
                <w:rFonts w:hint="default" w:ascii="Times New Roman" w:hAnsi="Times New Roman" w:eastAsia="宋体" w:cs="Times New Roman"/>
                <w:snapToGrid w:val="0"/>
                <w:color w:val="auto"/>
                <w:kern w:val="0"/>
                <w:sz w:val="24"/>
                <w:highlight w:val="none"/>
              </w:rPr>
              <w:t>。</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 xml:space="preserve">（2）存在的问题 </w:t>
            </w:r>
          </w:p>
          <w:p>
            <w:pPr>
              <w:widowControl w:val="0"/>
              <w:wordWrap/>
              <w:spacing w:line="480" w:lineRule="exact"/>
              <w:ind w:left="0" w:leftChars="0" w:right="0" w:firstLine="480" w:firstLineChars="200"/>
              <w:outlineLvl w:val="9"/>
              <w:rPr>
                <w:rFonts w:hint="default" w:ascii="Times New Roman" w:hAnsi="Times New Roman" w:eastAsia="宋体" w:cs="Times New Roman"/>
                <w:color w:val="FF0000"/>
                <w:spacing w:val="6"/>
                <w:sz w:val="24"/>
              </w:rPr>
            </w:pPr>
            <w:r>
              <w:rPr>
                <w:rFonts w:hint="eastAsia" w:cs="Times New Roman"/>
                <w:snapToGrid w:val="0"/>
                <w:kern w:val="0"/>
                <w:sz w:val="24"/>
                <w:lang w:eastAsia="zh-CN"/>
              </w:rPr>
              <w:t>湿法除尘系统存在废水跑冒漏滴现象</w:t>
            </w:r>
            <w:r>
              <w:rPr>
                <w:rFonts w:hint="default" w:ascii="Times New Roman" w:hAnsi="Times New Roman" w:eastAsia="宋体" w:cs="Times New Roman"/>
                <w:snapToGrid w:val="0"/>
                <w:color w:val="auto"/>
                <w:kern w:val="0"/>
                <w:sz w:val="24"/>
              </w:rPr>
              <w:t>。</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bCs/>
                <w:snapToGrid w:val="0"/>
                <w:kern w:val="0"/>
                <w:sz w:val="24"/>
              </w:rPr>
            </w:pPr>
            <w:r>
              <w:rPr>
                <w:rFonts w:hint="default" w:ascii="Times New Roman" w:hAnsi="Times New Roman" w:eastAsia="宋体" w:cs="Times New Roman"/>
                <w:bCs/>
                <w:snapToGrid w:val="0"/>
                <w:kern w:val="0"/>
                <w:sz w:val="24"/>
              </w:rPr>
              <w:t>（3）需采取的治理措施</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sz w:val="24"/>
              </w:rPr>
            </w:pPr>
            <w:r>
              <w:rPr>
                <w:rFonts w:hint="eastAsia" w:cs="Times New Roman"/>
                <w:snapToGrid w:val="0"/>
                <w:color w:val="auto"/>
                <w:kern w:val="0"/>
                <w:sz w:val="24"/>
                <w:lang w:eastAsia="zh-CN"/>
              </w:rPr>
              <w:t>对湿法除尘系统进行检修，并在外围修建围堰</w:t>
            </w:r>
            <w:r>
              <w:rPr>
                <w:rFonts w:hint="default" w:ascii="Times New Roman" w:hAnsi="Times New Roman" w:eastAsia="宋体" w:cs="Times New Roman"/>
                <w:sz w:val="24"/>
                <w:highlight w:val="none"/>
                <w:lang w:val="en-US" w:eastAsia="zh-CN"/>
              </w:rPr>
              <w:t>。</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2.3噪声</w:t>
            </w:r>
          </w:p>
          <w:p>
            <w:pPr>
              <w:widowControl w:val="0"/>
              <w:wordWrap/>
              <w:adjustRightInd w:val="0"/>
              <w:snapToGrid w:val="0"/>
              <w:spacing w:line="480" w:lineRule="exact"/>
              <w:ind w:left="0" w:leftChars="0" w:right="0" w:firstLine="480" w:firstLineChars="200"/>
              <w:outlineLvl w:val="9"/>
              <w:rPr>
                <w:rFonts w:hint="default" w:ascii="Times New Roman" w:hAnsi="Times New Roman" w:eastAsia="宋体" w:cs="Times New Roman"/>
                <w:sz w:val="24"/>
                <w:u w:val="single"/>
              </w:rPr>
            </w:pPr>
            <w:r>
              <w:rPr>
                <w:rFonts w:hint="default" w:ascii="Times New Roman" w:hAnsi="Times New Roman" w:eastAsia="宋体" w:cs="Times New Roman"/>
                <w:snapToGrid w:val="0"/>
                <w:kern w:val="0"/>
                <w:sz w:val="24"/>
              </w:rPr>
              <w:t>本项目现有工程营运期噪声主要来源于</w:t>
            </w:r>
            <w:r>
              <w:rPr>
                <w:rFonts w:hint="default" w:ascii="Times New Roman" w:hAnsi="Times New Roman" w:eastAsia="宋体" w:cs="Times New Roman"/>
                <w:sz w:val="24"/>
              </w:rPr>
              <w:t>机动车噪声、机械设备噪声。</w:t>
            </w:r>
          </w:p>
          <w:p>
            <w:pPr>
              <w:widowControl w:val="0"/>
              <w:wordWrap/>
              <w:spacing w:line="480" w:lineRule="exact"/>
              <w:ind w:left="0" w:leftChars="0" w:right="0"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（1）项目已采取的治理措施</w:t>
            </w:r>
          </w:p>
          <w:p>
            <w:pPr>
              <w:widowControl w:val="0"/>
              <w:wordWrap/>
              <w:spacing w:line="480" w:lineRule="exact"/>
              <w:ind w:left="0" w:leftChars="0" w:right="0" w:firstLine="480" w:firstLineChars="200"/>
              <w:outlineLvl w:val="9"/>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根据现场调查，本项目选用先进、噪声相对较小的生产设备</w:t>
            </w:r>
            <w:r>
              <w:rPr>
                <w:rFonts w:hint="default" w:ascii="Times New Roman" w:hAnsi="Times New Roman" w:eastAsia="宋体" w:cs="Times New Roman"/>
                <w:snapToGrid w:val="0"/>
                <w:kern w:val="0"/>
                <w:sz w:val="24"/>
                <w:lang w:eastAsia="zh-CN"/>
              </w:rPr>
              <w:t>。</w:t>
            </w:r>
          </w:p>
          <w:p>
            <w:pPr>
              <w:widowControl w:val="0"/>
              <w:wordWrap/>
              <w:spacing w:line="480" w:lineRule="exact"/>
              <w:ind w:left="0" w:leftChars="0" w:right="0"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（2）存在的问题</w:t>
            </w:r>
          </w:p>
          <w:p>
            <w:pPr>
              <w:widowControl w:val="0"/>
              <w:wordWrap/>
              <w:spacing w:line="480" w:lineRule="exact"/>
              <w:ind w:left="0" w:leftChars="0" w:right="0"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根据现场踏勘，环评介入时，该项目处于停产状态，根据现状监测数据表明，该项目区域声环境质量良好。</w:t>
            </w:r>
          </w:p>
          <w:p>
            <w:pPr>
              <w:widowControl w:val="0"/>
              <w:numPr>
                <w:ilvl w:val="0"/>
                <w:numId w:val="0"/>
              </w:numPr>
              <w:wordWrap/>
              <w:snapToGrid w:val="0"/>
              <w:spacing w:line="480" w:lineRule="exact"/>
              <w:ind w:left="0" w:leftChars="0" w:right="0" w:firstLine="480" w:firstLineChars="200"/>
              <w:outlineLvl w:val="9"/>
              <w:rPr>
                <w:rFonts w:hint="default" w:ascii="Times New Roman" w:hAnsi="Times New Roman" w:eastAsia="宋体" w:cs="Times New Roman"/>
                <w:bCs/>
                <w:snapToGrid w:val="0"/>
                <w:kern w:val="0"/>
                <w:sz w:val="24"/>
              </w:rPr>
            </w:pPr>
            <w:r>
              <w:rPr>
                <w:rFonts w:hint="default" w:ascii="Times New Roman" w:hAnsi="Times New Roman" w:eastAsia="宋体" w:cs="Times New Roman"/>
                <w:bCs/>
                <w:snapToGrid w:val="0"/>
                <w:kern w:val="0"/>
                <w:sz w:val="24"/>
                <w:lang w:eastAsia="zh-CN"/>
              </w:rPr>
              <w:t>（</w:t>
            </w:r>
            <w:r>
              <w:rPr>
                <w:rFonts w:hint="default" w:ascii="Times New Roman" w:hAnsi="Times New Roman" w:eastAsia="宋体" w:cs="Times New Roman"/>
                <w:bCs/>
                <w:snapToGrid w:val="0"/>
                <w:kern w:val="0"/>
                <w:sz w:val="24"/>
                <w:lang w:val="en-US" w:eastAsia="zh-CN"/>
              </w:rPr>
              <w:t>3</w:t>
            </w:r>
            <w:r>
              <w:rPr>
                <w:rFonts w:hint="default" w:ascii="Times New Roman" w:hAnsi="Times New Roman" w:eastAsia="宋体" w:cs="Times New Roman"/>
                <w:bCs/>
                <w:snapToGrid w:val="0"/>
                <w:kern w:val="0"/>
                <w:sz w:val="24"/>
                <w:lang w:eastAsia="zh-CN"/>
              </w:rPr>
              <w:t>）</w:t>
            </w:r>
            <w:r>
              <w:rPr>
                <w:rFonts w:hint="default" w:ascii="Times New Roman" w:hAnsi="Times New Roman" w:eastAsia="宋体" w:cs="Times New Roman"/>
                <w:bCs/>
                <w:snapToGrid w:val="0"/>
                <w:kern w:val="0"/>
                <w:sz w:val="24"/>
              </w:rPr>
              <w:t>需采取的治理措施</w:t>
            </w:r>
          </w:p>
          <w:p>
            <w:pPr>
              <w:widowControl w:val="0"/>
              <w:wordWrap/>
              <w:spacing w:line="480" w:lineRule="exact"/>
              <w:ind w:left="0" w:leftChars="0" w:right="0" w:firstLine="480" w:firstLineChars="200"/>
              <w:outlineLvl w:val="9"/>
              <w:rPr>
                <w:rFonts w:hint="default" w:ascii="Times New Roman" w:hAnsi="Times New Roman" w:eastAsia="宋体" w:cs="Times New Roman"/>
                <w:bCs/>
                <w:snapToGrid w:val="0"/>
                <w:kern w:val="0"/>
                <w:sz w:val="24"/>
              </w:rPr>
            </w:pPr>
            <w:r>
              <w:rPr>
                <w:rFonts w:hint="default" w:ascii="Times New Roman" w:hAnsi="Times New Roman" w:eastAsia="宋体" w:cs="Times New Roman"/>
                <w:snapToGrid w:val="0"/>
                <w:kern w:val="0"/>
                <w:sz w:val="24"/>
              </w:rPr>
              <w:t>高噪声设备采用隔声、减震、降噪等措施，同时加强管理，确保项目运营后可达到</w:t>
            </w:r>
            <w:r>
              <w:rPr>
                <w:rFonts w:hint="default" w:ascii="Times New Roman" w:hAnsi="Times New Roman" w:eastAsia="宋体" w:cs="Times New Roman"/>
                <w:sz w:val="24"/>
              </w:rPr>
              <w:t>《工业企业厂界环境噪声排放标准》（GB12348-2008）的2类标准。</w:t>
            </w:r>
          </w:p>
          <w:p>
            <w:pPr>
              <w:widowControl w:val="0"/>
              <w:wordWrap/>
              <w:spacing w:line="480" w:lineRule="exact"/>
              <w:ind w:left="0" w:leftChars="0" w:right="0"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2.4固废</w:t>
            </w:r>
          </w:p>
          <w:p>
            <w:pPr>
              <w:widowControl w:val="0"/>
              <w:wordWrap/>
              <w:adjustRightInd w:val="0"/>
              <w:snapToGrid w:val="0"/>
              <w:spacing w:line="480" w:lineRule="exact"/>
              <w:ind w:left="0" w:leftChars="0" w:right="0"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本项目现有工程固废主要为</w:t>
            </w:r>
            <w:r>
              <w:rPr>
                <w:rFonts w:hint="eastAsia" w:ascii="Times New Roman" w:hAnsi="Times New Roman" w:cs="Times New Roman"/>
                <w:sz w:val="24"/>
                <w:lang w:eastAsia="zh-CN"/>
              </w:rPr>
              <w:t>废物料</w:t>
            </w:r>
            <w:r>
              <w:rPr>
                <w:rFonts w:hint="default" w:ascii="Times New Roman" w:hAnsi="Times New Roman" w:eastAsia="宋体" w:cs="Times New Roman"/>
                <w:sz w:val="24"/>
              </w:rPr>
              <w:t>、</w:t>
            </w:r>
            <w:r>
              <w:rPr>
                <w:rFonts w:hint="eastAsia" w:ascii="Times New Roman" w:hAnsi="Times New Roman" w:cs="Times New Roman"/>
                <w:sz w:val="24"/>
                <w:lang w:eastAsia="zh-CN"/>
              </w:rPr>
              <w:t>废包装材料</w:t>
            </w:r>
            <w:r>
              <w:rPr>
                <w:rFonts w:hint="default" w:ascii="Times New Roman" w:hAnsi="Times New Roman" w:eastAsia="宋体" w:cs="Times New Roman"/>
                <w:sz w:val="24"/>
              </w:rPr>
              <w:t>以及生活垃圾</w:t>
            </w:r>
            <w:r>
              <w:rPr>
                <w:rFonts w:hint="eastAsia" w:ascii="Times New Roman" w:hAnsi="Times New Roman" w:cs="Times New Roman"/>
                <w:sz w:val="24"/>
                <w:lang w:eastAsia="zh-CN"/>
              </w:rPr>
              <w:t>，</w:t>
            </w:r>
            <w:r>
              <w:rPr>
                <w:rFonts w:hint="eastAsia" w:ascii="Times New Roman" w:hAnsi="Times New Roman" w:eastAsia="宋体" w:cs="Times New Roman"/>
                <w:sz w:val="24"/>
                <w:lang w:eastAsia="zh-CN"/>
              </w:rPr>
              <w:t>以及</w:t>
            </w:r>
            <w:r>
              <w:rPr>
                <w:rFonts w:hint="eastAsia" w:ascii="Times New Roman" w:hAnsi="Times New Roman" w:cs="Times New Roman"/>
                <w:sz w:val="24"/>
                <w:lang w:eastAsia="zh-CN"/>
              </w:rPr>
              <w:t>设备运转产生的废</w:t>
            </w:r>
            <w:r>
              <w:rPr>
                <w:rFonts w:hint="eastAsia" w:cs="Times New Roman"/>
                <w:sz w:val="24"/>
                <w:lang w:eastAsia="zh-CN"/>
              </w:rPr>
              <w:t>润滑油</w:t>
            </w:r>
            <w:r>
              <w:rPr>
                <w:rFonts w:hint="eastAsia" w:ascii="Times New Roman" w:hAnsi="Times New Roman" w:cs="Times New Roman"/>
                <w:sz w:val="24"/>
                <w:lang w:eastAsia="zh-CN"/>
              </w:rPr>
              <w:t>，使用</w:t>
            </w:r>
            <w:r>
              <w:rPr>
                <w:rFonts w:hint="eastAsia" w:cs="Times New Roman"/>
                <w:sz w:val="24"/>
                <w:lang w:eastAsia="zh-CN"/>
              </w:rPr>
              <w:t>润滑油</w:t>
            </w:r>
            <w:r>
              <w:rPr>
                <w:rFonts w:hint="eastAsia" w:ascii="Times New Roman" w:hAnsi="Times New Roman" w:cs="Times New Roman"/>
                <w:sz w:val="24"/>
                <w:lang w:eastAsia="zh-CN"/>
              </w:rPr>
              <w:t>时产生的废</w:t>
            </w:r>
            <w:r>
              <w:rPr>
                <w:rFonts w:hint="eastAsia" w:cs="Times New Roman"/>
                <w:sz w:val="24"/>
                <w:lang w:eastAsia="zh-CN"/>
              </w:rPr>
              <w:t>润滑油</w:t>
            </w:r>
            <w:r>
              <w:rPr>
                <w:rFonts w:hint="eastAsia" w:ascii="Times New Roman" w:hAnsi="Times New Roman" w:cs="Times New Roman"/>
                <w:sz w:val="24"/>
                <w:lang w:eastAsia="zh-CN"/>
              </w:rPr>
              <w:t>桶</w:t>
            </w:r>
            <w:r>
              <w:rPr>
                <w:rFonts w:hint="default" w:ascii="Times New Roman" w:hAnsi="Times New Roman" w:eastAsia="宋体" w:cs="Times New Roman"/>
                <w:sz w:val="24"/>
              </w:rPr>
              <w:t>。</w:t>
            </w:r>
          </w:p>
          <w:p>
            <w:pPr>
              <w:widowControl w:val="0"/>
              <w:wordWrap/>
              <w:spacing w:line="480" w:lineRule="exact"/>
              <w:ind w:left="0" w:leftChars="0" w:right="0" w:firstLine="480" w:firstLineChars="200"/>
              <w:outlineLvl w:val="9"/>
              <w:rPr>
                <w:rFonts w:hint="default" w:ascii="Times New Roman" w:hAnsi="Times New Roman" w:eastAsia="宋体" w:cs="Times New Roman"/>
                <w:sz w:val="24"/>
              </w:rPr>
            </w:pPr>
            <w:r>
              <w:rPr>
                <w:rFonts w:hint="default" w:ascii="Times New Roman" w:hAnsi="Times New Roman" w:eastAsia="宋体" w:cs="Times New Roman"/>
                <w:sz w:val="24"/>
              </w:rPr>
              <w:t>（1）项目已采取的治理措施</w:t>
            </w:r>
          </w:p>
          <w:p>
            <w:pPr>
              <w:pStyle w:val="9"/>
              <w:widowControl w:val="0"/>
              <w:wordWrap/>
              <w:snapToGrid w:val="0"/>
              <w:spacing w:line="480" w:lineRule="exact"/>
              <w:ind w:left="0" w:leftChars="0" w:right="0" w:firstLine="480" w:firstLineChars="200"/>
              <w:outlineLvl w:val="9"/>
              <w:rPr>
                <w:rFonts w:hint="default" w:ascii="Times New Roman" w:hAnsi="Times New Roman" w:eastAsia="宋体" w:cs="Times New Roman"/>
                <w:b/>
                <w:sz w:val="24"/>
              </w:rPr>
            </w:pPr>
            <w:r>
              <w:rPr>
                <w:rFonts w:hint="default" w:ascii="Times New Roman" w:hAnsi="Times New Roman" w:eastAsia="宋体" w:cs="Times New Roman"/>
                <w:sz w:val="24"/>
              </w:rPr>
              <w:t>项目生活垃圾经集中收集后统一运至当地</w:t>
            </w:r>
            <w:r>
              <w:rPr>
                <w:rFonts w:hint="default" w:ascii="Times New Roman" w:hAnsi="Times New Roman" w:eastAsia="宋体" w:cs="Times New Roman"/>
                <w:sz w:val="24"/>
                <w:lang w:eastAsia="zh-CN"/>
              </w:rPr>
              <w:t>垃</w:t>
            </w:r>
            <w:r>
              <w:rPr>
                <w:rFonts w:hint="default" w:ascii="Times New Roman" w:hAnsi="Times New Roman" w:eastAsia="宋体" w:cs="Times New Roman"/>
                <w:sz w:val="24"/>
              </w:rPr>
              <w:t>圾填埋场进行</w:t>
            </w:r>
            <w:r>
              <w:rPr>
                <w:rFonts w:hint="eastAsia" w:cs="Times New Roman"/>
                <w:sz w:val="24"/>
                <w:lang w:eastAsia="zh-CN"/>
              </w:rPr>
              <w:t>卫生</w:t>
            </w:r>
            <w:r>
              <w:rPr>
                <w:rFonts w:hint="default" w:ascii="Times New Roman" w:hAnsi="Times New Roman" w:eastAsia="宋体" w:cs="Times New Roman"/>
                <w:sz w:val="24"/>
              </w:rPr>
              <w:t>填埋，做到日产日清，不会对周边产生不良影响。</w:t>
            </w:r>
            <w:r>
              <w:rPr>
                <w:rFonts w:hint="eastAsia" w:ascii="Times New Roman" w:hAnsi="Times New Roman" w:cs="Times New Roman"/>
                <w:bCs/>
                <w:snapToGrid w:val="0"/>
                <w:kern w:val="0"/>
                <w:sz w:val="24"/>
                <w:lang w:eastAsia="zh-CN"/>
              </w:rPr>
              <w:t>废物料及废包装材料</w:t>
            </w:r>
            <w:r>
              <w:rPr>
                <w:rFonts w:hint="default" w:ascii="Times New Roman" w:hAnsi="Times New Roman" w:eastAsia="宋体" w:cs="Times New Roman"/>
                <w:bCs/>
                <w:snapToGrid w:val="0"/>
                <w:kern w:val="0"/>
                <w:sz w:val="24"/>
              </w:rPr>
              <w:t>外售给</w:t>
            </w:r>
            <w:r>
              <w:rPr>
                <w:rFonts w:hint="eastAsia" w:ascii="Times New Roman" w:hAnsi="Times New Roman" w:cs="Times New Roman"/>
                <w:bCs/>
                <w:snapToGrid w:val="0"/>
                <w:kern w:val="0"/>
                <w:sz w:val="24"/>
                <w:lang w:eastAsia="zh-CN"/>
              </w:rPr>
              <w:t>废品站</w:t>
            </w:r>
            <w:r>
              <w:rPr>
                <w:rFonts w:hint="default" w:ascii="Times New Roman" w:hAnsi="Times New Roman" w:eastAsia="宋体" w:cs="Times New Roman"/>
                <w:bCs/>
                <w:snapToGrid w:val="0"/>
                <w:kern w:val="0"/>
                <w:sz w:val="24"/>
              </w:rPr>
              <w:t>，不外排；</w:t>
            </w:r>
            <w:r>
              <w:rPr>
                <w:rFonts w:hint="eastAsia" w:ascii="Times New Roman" w:hAnsi="Times New Roman" w:cs="Times New Roman"/>
                <w:bCs/>
                <w:snapToGrid w:val="0"/>
                <w:kern w:val="0"/>
                <w:sz w:val="24"/>
                <w:lang w:eastAsia="zh-CN"/>
              </w:rPr>
              <w:t>废</w:t>
            </w:r>
            <w:r>
              <w:rPr>
                <w:rFonts w:hint="eastAsia" w:cs="Times New Roman"/>
                <w:bCs/>
                <w:snapToGrid w:val="0"/>
                <w:kern w:val="0"/>
                <w:sz w:val="24"/>
                <w:lang w:eastAsia="zh-CN"/>
              </w:rPr>
              <w:t>润滑油</w:t>
            </w:r>
            <w:r>
              <w:rPr>
                <w:rFonts w:hint="eastAsia" w:ascii="Times New Roman" w:hAnsi="Times New Roman" w:cs="Times New Roman"/>
                <w:bCs/>
                <w:snapToGrid w:val="0"/>
                <w:kern w:val="0"/>
                <w:sz w:val="24"/>
                <w:lang w:eastAsia="zh-CN"/>
              </w:rPr>
              <w:t>和废</w:t>
            </w:r>
            <w:r>
              <w:rPr>
                <w:rFonts w:hint="eastAsia" w:cs="Times New Roman"/>
                <w:bCs/>
                <w:snapToGrid w:val="0"/>
                <w:kern w:val="0"/>
                <w:sz w:val="24"/>
                <w:lang w:eastAsia="zh-CN"/>
              </w:rPr>
              <w:t>润滑油</w:t>
            </w:r>
            <w:r>
              <w:rPr>
                <w:rFonts w:hint="eastAsia" w:ascii="Times New Roman" w:hAnsi="Times New Roman" w:cs="Times New Roman"/>
                <w:bCs/>
                <w:snapToGrid w:val="0"/>
                <w:kern w:val="0"/>
                <w:sz w:val="24"/>
                <w:lang w:eastAsia="zh-CN"/>
              </w:rPr>
              <w:t>桶集中收集至厂区的危废暂存场所，然后交由有资质的单位处置，</w:t>
            </w:r>
            <w:r>
              <w:rPr>
                <w:rFonts w:hint="eastAsia" w:ascii="Times New Roman" w:hAnsi="Times New Roman" w:cs="Times New Roman"/>
                <w:bCs/>
                <w:snapToGrid w:val="0"/>
                <w:kern w:val="0"/>
                <w:sz w:val="24"/>
                <w:lang w:val="en-US" w:eastAsia="zh-CN"/>
              </w:rPr>
              <w:t>但</w:t>
            </w:r>
            <w:r>
              <w:rPr>
                <w:rFonts w:hint="eastAsia" w:ascii="Times New Roman" w:hAnsi="Times New Roman" w:cs="Times New Roman"/>
                <w:bCs/>
                <w:snapToGrid w:val="0"/>
                <w:kern w:val="0"/>
                <w:sz w:val="24"/>
                <w:lang w:eastAsia="zh-CN"/>
              </w:rPr>
              <w:t>危废暂存场所</w:t>
            </w:r>
            <w:r>
              <w:rPr>
                <w:rFonts w:hint="eastAsia" w:ascii="Times New Roman" w:hAnsi="Times New Roman" w:cs="Times New Roman"/>
                <w:bCs/>
                <w:snapToGrid w:val="0"/>
                <w:kern w:val="0"/>
                <w:sz w:val="24"/>
                <w:lang w:val="en-US" w:eastAsia="zh-CN"/>
              </w:rPr>
              <w:t>不规范</w:t>
            </w:r>
            <w:r>
              <w:rPr>
                <w:rFonts w:hint="default" w:ascii="Times New Roman" w:hAnsi="Times New Roman" w:eastAsia="宋体" w:cs="Times New Roman"/>
                <w:bCs/>
                <w:snapToGrid w:val="0"/>
                <w:kern w:val="0"/>
                <w:sz w:val="24"/>
                <w:lang w:eastAsia="zh-CN"/>
              </w:rPr>
              <w:t>。</w:t>
            </w:r>
          </w:p>
          <w:p>
            <w:pPr>
              <w:widowControl w:val="0"/>
              <w:numPr>
                <w:ilvl w:val="0"/>
                <w:numId w:val="0"/>
              </w:numPr>
              <w:wordWrap/>
              <w:snapToGrid w:val="0"/>
              <w:spacing w:line="480" w:lineRule="exact"/>
              <w:ind w:left="0" w:leftChars="0" w:right="0" w:firstLine="480" w:firstLineChars="200"/>
              <w:outlineLvl w:val="9"/>
              <w:rPr>
                <w:rFonts w:hint="default" w:ascii="Times New Roman" w:hAnsi="Times New Roman" w:eastAsia="宋体" w:cs="Times New Roman"/>
                <w:bCs/>
                <w:snapToGrid w:val="0"/>
                <w:kern w:val="0"/>
                <w:sz w:val="24"/>
              </w:rPr>
            </w:pPr>
            <w:r>
              <w:rPr>
                <w:rFonts w:hint="default" w:ascii="Times New Roman" w:hAnsi="Times New Roman" w:eastAsia="宋体" w:cs="Times New Roman"/>
                <w:bCs/>
                <w:snapToGrid w:val="0"/>
                <w:kern w:val="0"/>
                <w:sz w:val="24"/>
                <w:lang w:eastAsia="zh-CN"/>
              </w:rPr>
              <w:t>（</w:t>
            </w:r>
            <w:r>
              <w:rPr>
                <w:rFonts w:hint="default" w:ascii="Times New Roman" w:hAnsi="Times New Roman" w:eastAsia="宋体" w:cs="Times New Roman"/>
                <w:bCs/>
                <w:snapToGrid w:val="0"/>
                <w:kern w:val="0"/>
                <w:sz w:val="24"/>
                <w:lang w:val="en-US" w:eastAsia="zh-CN"/>
              </w:rPr>
              <w:t>2</w:t>
            </w:r>
            <w:r>
              <w:rPr>
                <w:rFonts w:hint="default" w:ascii="Times New Roman" w:hAnsi="Times New Roman" w:eastAsia="宋体" w:cs="Times New Roman"/>
                <w:bCs/>
                <w:snapToGrid w:val="0"/>
                <w:kern w:val="0"/>
                <w:sz w:val="24"/>
                <w:lang w:eastAsia="zh-CN"/>
              </w:rPr>
              <w:t>）</w:t>
            </w:r>
            <w:r>
              <w:rPr>
                <w:rFonts w:hint="default" w:ascii="Times New Roman" w:hAnsi="Times New Roman" w:eastAsia="宋体" w:cs="Times New Roman"/>
                <w:bCs/>
                <w:snapToGrid w:val="0"/>
                <w:kern w:val="0"/>
                <w:sz w:val="24"/>
              </w:rPr>
              <w:t>需采取的治理措施</w:t>
            </w:r>
          </w:p>
          <w:p>
            <w:pPr>
              <w:widowControl w:val="0"/>
              <w:wordWrap/>
              <w:spacing w:line="480" w:lineRule="exact"/>
              <w:ind w:left="0" w:leftChars="0" w:right="0" w:firstLine="480" w:firstLineChars="200"/>
              <w:outlineLvl w:val="9"/>
              <w:rPr>
                <w:rFonts w:hint="default" w:ascii="Times New Roman" w:hAnsi="Times New Roman" w:eastAsia="宋体" w:cs="Times New Roman"/>
                <w:bCs/>
                <w:snapToGrid w:val="0"/>
                <w:kern w:val="0"/>
                <w:sz w:val="24"/>
                <w:lang w:eastAsia="zh-CN"/>
              </w:rPr>
            </w:pPr>
            <w:r>
              <w:rPr>
                <w:rFonts w:hint="eastAsia" w:ascii="Times New Roman" w:hAnsi="Times New Roman" w:cs="Times New Roman"/>
                <w:bCs/>
                <w:snapToGrid w:val="0"/>
                <w:kern w:val="0"/>
                <w:sz w:val="24"/>
                <w:lang w:val="en-US" w:eastAsia="zh-CN"/>
              </w:rPr>
              <w:t>按规范设立单独的</w:t>
            </w:r>
            <w:r>
              <w:rPr>
                <w:rFonts w:hint="eastAsia" w:ascii="Times New Roman" w:hAnsi="Times New Roman" w:cs="Times New Roman"/>
                <w:bCs/>
                <w:snapToGrid w:val="0"/>
                <w:kern w:val="0"/>
                <w:sz w:val="24"/>
                <w:lang w:eastAsia="zh-CN"/>
              </w:rPr>
              <w:t>危废暂存</w:t>
            </w:r>
            <w:r>
              <w:rPr>
                <w:rFonts w:hint="eastAsia" w:ascii="Times New Roman" w:hAnsi="Times New Roman" w:cs="Times New Roman"/>
                <w:bCs/>
                <w:snapToGrid w:val="0"/>
                <w:kern w:val="0"/>
                <w:sz w:val="24"/>
                <w:lang w:val="en-US" w:eastAsia="zh-CN"/>
              </w:rPr>
              <w:t>间</w:t>
            </w:r>
            <w:r>
              <w:rPr>
                <w:rFonts w:hint="default" w:ascii="Times New Roman" w:hAnsi="Times New Roman" w:eastAsia="宋体" w:cs="Times New Roman"/>
                <w:bCs/>
                <w:snapToGrid w:val="0"/>
                <w:kern w:val="0"/>
                <w:sz w:val="24"/>
                <w:lang w:eastAsia="zh-CN"/>
              </w:rPr>
              <w:t>。</w:t>
            </w:r>
          </w:p>
          <w:p>
            <w:pPr>
              <w:widowControl w:val="0"/>
              <w:wordWrap/>
              <w:snapToGrid w:val="0"/>
              <w:spacing w:line="480" w:lineRule="exact"/>
              <w:ind w:left="0" w:leftChars="0" w:right="0" w:firstLine="480" w:firstLineChars="200"/>
              <w:outlineLvl w:val="9"/>
              <w:rPr>
                <w:rFonts w:hint="default" w:ascii="Times New Roman" w:hAnsi="Times New Roman" w:eastAsia="宋体" w:cs="Times New Roman"/>
                <w:b/>
                <w:snapToGrid w:val="0"/>
                <w:kern w:val="0"/>
                <w:szCs w:val="21"/>
              </w:rPr>
            </w:pPr>
            <w:r>
              <w:rPr>
                <w:rFonts w:hint="default" w:ascii="Times New Roman" w:hAnsi="Times New Roman" w:eastAsia="宋体" w:cs="Times New Roman"/>
                <w:bCs/>
                <w:snapToGrid w:val="0"/>
                <w:kern w:val="0"/>
                <w:sz w:val="24"/>
                <w:szCs w:val="24"/>
              </w:rPr>
              <w:t>项目已采取的污染防治措施及存在的环境问题见表</w:t>
            </w:r>
            <w:r>
              <w:rPr>
                <w:rFonts w:hint="eastAsia" w:cs="Times New Roman"/>
                <w:bCs/>
                <w:snapToGrid w:val="0"/>
                <w:kern w:val="0"/>
                <w:sz w:val="24"/>
                <w:szCs w:val="24"/>
                <w:lang w:val="en-US" w:eastAsia="zh-CN"/>
              </w:rPr>
              <w:t>1-7</w:t>
            </w:r>
            <w:r>
              <w:rPr>
                <w:rFonts w:hint="default" w:ascii="Times New Roman" w:hAnsi="Times New Roman" w:eastAsia="宋体" w:cs="Times New Roman"/>
                <w:bCs/>
                <w:snapToGrid w:val="0"/>
                <w:kern w:val="0"/>
                <w:sz w:val="24"/>
                <w:szCs w:val="24"/>
              </w:rPr>
              <w:t>。</w:t>
            </w:r>
          </w:p>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表</w:t>
            </w:r>
            <w:r>
              <w:rPr>
                <w:rFonts w:hint="eastAsia" w:cs="Times New Roman"/>
                <w:b/>
                <w:snapToGrid w:val="0"/>
                <w:kern w:val="0"/>
                <w:szCs w:val="21"/>
                <w:lang w:val="en-US" w:eastAsia="zh-CN"/>
              </w:rPr>
              <w:t>1-7</w:t>
            </w:r>
            <w:r>
              <w:rPr>
                <w:rFonts w:hint="default" w:ascii="Times New Roman" w:hAnsi="Times New Roman" w:eastAsia="宋体" w:cs="Times New Roman"/>
                <w:b/>
                <w:snapToGrid w:val="0"/>
                <w:kern w:val="0"/>
                <w:szCs w:val="21"/>
                <w:lang w:val="en-US" w:eastAsia="zh-CN"/>
              </w:rPr>
              <w:t xml:space="preserve"> </w:t>
            </w:r>
            <w:r>
              <w:rPr>
                <w:rFonts w:hint="default" w:ascii="Times New Roman" w:hAnsi="Times New Roman" w:eastAsia="宋体" w:cs="Times New Roman"/>
                <w:b/>
                <w:snapToGrid w:val="0"/>
                <w:kern w:val="0"/>
                <w:szCs w:val="21"/>
              </w:rPr>
              <w:t xml:space="preserve"> 现有工程污染防治措施及存在的环境问题一览表</w:t>
            </w:r>
          </w:p>
          <w:tbl>
            <w:tblPr>
              <w:tblStyle w:val="38"/>
              <w:tblW w:w="8680" w:type="dxa"/>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75"/>
              <w:gridCol w:w="1477"/>
              <w:gridCol w:w="2034"/>
              <w:gridCol w:w="1261"/>
              <w:gridCol w:w="1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99" w:type="dxa"/>
                  <w:vAlign w:val="center"/>
                </w:tcPr>
                <w:p>
                  <w:pPr>
                    <w:widowControl/>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color w:val="auto"/>
                      <w:kern w:val="2"/>
                      <w:sz w:val="21"/>
                      <w:szCs w:val="24"/>
                      <w:lang w:val="en-US" w:eastAsia="zh-CN" w:bidi="ar-SA"/>
                    </w:rPr>
                    <w:pict>
                      <v:shape id="直线 2" o:spid="_x0000_s2050" o:spt="32" type="#_x0000_t32" style="position:absolute;left:0pt;margin-left:-4.9pt;margin-top:0.7pt;height:30.05pt;width:41.75pt;z-index:25166438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shape>
                    </w:pict>
                  </w:r>
                  <w:r>
                    <w:rPr>
                      <w:rFonts w:hint="default" w:ascii="Times New Roman" w:hAnsi="Times New Roman" w:eastAsia="宋体" w:cs="Times New Roman"/>
                      <w:b/>
                      <w:bCs/>
                      <w:color w:val="auto"/>
                      <w:kern w:val="0"/>
                      <w:sz w:val="21"/>
                      <w:szCs w:val="21"/>
                    </w:rPr>
                    <w:t>内容</w:t>
                  </w:r>
                </w:p>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类型</w:t>
                  </w:r>
                </w:p>
              </w:tc>
              <w:tc>
                <w:tcPr>
                  <w:tcW w:w="1375" w:type="dxa"/>
                  <w:vAlign w:val="center"/>
                </w:tcPr>
                <w:p>
                  <w:pPr>
                    <w:widowControl/>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排放源(编号)</w:t>
                  </w:r>
                </w:p>
              </w:tc>
              <w:tc>
                <w:tcPr>
                  <w:tcW w:w="1477" w:type="dxa"/>
                  <w:vAlign w:val="center"/>
                </w:tcPr>
                <w:p>
                  <w:pPr>
                    <w:widowControl/>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污染物名称</w:t>
                  </w:r>
                </w:p>
              </w:tc>
              <w:tc>
                <w:tcPr>
                  <w:tcW w:w="2034" w:type="dxa"/>
                  <w:vAlign w:val="center"/>
                </w:tcPr>
                <w:p>
                  <w:pPr>
                    <w:widowControl/>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防治措施</w:t>
                  </w:r>
                </w:p>
              </w:tc>
              <w:tc>
                <w:tcPr>
                  <w:tcW w:w="1261" w:type="dxa"/>
                  <w:vAlign w:val="center"/>
                </w:tcPr>
                <w:p>
                  <w:pPr>
                    <w:widowControl/>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bCs/>
                      <w:color w:val="auto"/>
                      <w:kern w:val="0"/>
                      <w:sz w:val="21"/>
                      <w:szCs w:val="21"/>
                    </w:rPr>
                  </w:pPr>
                  <w:r>
                    <w:rPr>
                      <w:rFonts w:hint="default" w:ascii="Times New Roman" w:hAnsi="Times New Roman" w:cs="Times New Roman"/>
                      <w:b/>
                      <w:bCs/>
                      <w:color w:val="auto"/>
                      <w:kern w:val="0"/>
                      <w:sz w:val="21"/>
                      <w:szCs w:val="21"/>
                      <w:lang w:eastAsia="zh-CN"/>
                    </w:rPr>
                    <w:t>现有</w:t>
                  </w:r>
                  <w:r>
                    <w:rPr>
                      <w:rFonts w:hint="default" w:ascii="Times New Roman" w:hAnsi="Times New Roman" w:eastAsia="宋体" w:cs="Times New Roman"/>
                      <w:b/>
                      <w:bCs/>
                      <w:color w:val="auto"/>
                      <w:kern w:val="0"/>
                      <w:sz w:val="21"/>
                      <w:szCs w:val="21"/>
                    </w:rPr>
                    <w:t>治理效果</w:t>
                  </w:r>
                </w:p>
              </w:tc>
              <w:tc>
                <w:tcPr>
                  <w:tcW w:w="1734" w:type="dxa"/>
                  <w:vAlign w:val="center"/>
                </w:tcPr>
                <w:p>
                  <w:pPr>
                    <w:widowControl/>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整改要求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799" w:type="dxa"/>
                  <w:vAlign w:val="center"/>
                </w:tcPr>
                <w:p>
                  <w:pPr>
                    <w:wordWrap/>
                    <w:adjustRightInd/>
                    <w:snapToGrid/>
                    <w:spacing w:line="240" w:lineRule="auto"/>
                    <w:ind w:right="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w:t>
                  </w:r>
                </w:p>
              </w:tc>
              <w:tc>
                <w:tcPr>
                  <w:tcW w:w="1375" w:type="dxa"/>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生产车间</w:t>
                  </w:r>
                </w:p>
              </w:tc>
              <w:tc>
                <w:tcPr>
                  <w:tcW w:w="1477" w:type="dxa"/>
                  <w:vAlign w:val="center"/>
                </w:tcPr>
                <w:p>
                  <w:pPr>
                    <w:widowControl/>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kern w:val="0"/>
                      <w:sz w:val="21"/>
                      <w:szCs w:val="21"/>
                    </w:rPr>
                  </w:pPr>
                  <w:r>
                    <w:rPr>
                      <w:rFonts w:hint="eastAsia" w:cs="Times New Roman"/>
                      <w:color w:val="auto"/>
                      <w:kern w:val="0"/>
                      <w:sz w:val="21"/>
                      <w:szCs w:val="21"/>
                      <w:lang w:eastAsia="zh-CN"/>
                    </w:rPr>
                    <w:t>打磨</w:t>
                  </w:r>
                  <w:r>
                    <w:rPr>
                      <w:rFonts w:hint="eastAsia" w:ascii="Times New Roman" w:hAnsi="Times New Roman" w:cs="Times New Roman"/>
                      <w:color w:val="auto"/>
                      <w:kern w:val="0"/>
                      <w:sz w:val="21"/>
                      <w:szCs w:val="21"/>
                      <w:lang w:eastAsia="zh-CN"/>
                    </w:rPr>
                    <w:t>抛光</w:t>
                  </w:r>
                  <w:r>
                    <w:rPr>
                      <w:rFonts w:hint="default" w:ascii="Times New Roman" w:hAnsi="Times New Roman" w:eastAsia="宋体" w:cs="Times New Roman"/>
                      <w:color w:val="auto"/>
                      <w:kern w:val="0"/>
                      <w:sz w:val="21"/>
                      <w:szCs w:val="21"/>
                      <w:lang w:val="en-US" w:eastAsia="zh-CN"/>
                    </w:rPr>
                    <w:t>粉尘</w:t>
                  </w:r>
                </w:p>
              </w:tc>
              <w:tc>
                <w:tcPr>
                  <w:tcW w:w="2034" w:type="dxa"/>
                  <w:vAlign w:val="center"/>
                </w:tcPr>
                <w:p>
                  <w:pPr>
                    <w:widowControl/>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湿法除尘</w:t>
                  </w:r>
                </w:p>
              </w:tc>
              <w:tc>
                <w:tcPr>
                  <w:tcW w:w="1261" w:type="dxa"/>
                  <w:vAlign w:val="center"/>
                </w:tcPr>
                <w:p>
                  <w:pPr>
                    <w:widowControl/>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对周围环境影响不大</w:t>
                  </w:r>
                </w:p>
              </w:tc>
              <w:tc>
                <w:tcPr>
                  <w:tcW w:w="1734" w:type="dxa"/>
                  <w:vAlign w:val="center"/>
                </w:tcPr>
                <w:p>
                  <w:pPr>
                    <w:widowControl/>
                    <w:wordWrap/>
                    <w:adjustRightInd/>
                    <w:snapToGrid/>
                    <w:spacing w:line="240" w:lineRule="auto"/>
                    <w:ind w:left="0" w:leftChars="0" w:right="38" w:rightChars="18"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湿法除尘系统需封闭</w:t>
                  </w:r>
                  <w:r>
                    <w:rPr>
                      <w:rFonts w:hint="eastAsia" w:cs="Times New Roman"/>
                      <w:color w:val="auto"/>
                      <w:sz w:val="21"/>
                      <w:szCs w:val="21"/>
                      <w:lang w:val="en-US" w:eastAsia="zh-CN"/>
                    </w:rPr>
                    <w:t>，确保打磨抛光废气全部经除尘系统处理后外排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99" w:type="dxa"/>
                  <w:vMerge w:val="restart"/>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水污染物</w:t>
                  </w:r>
                </w:p>
              </w:tc>
              <w:tc>
                <w:tcPr>
                  <w:tcW w:w="1375" w:type="dxa"/>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w:t>
                  </w:r>
                </w:p>
              </w:tc>
              <w:tc>
                <w:tcPr>
                  <w:tcW w:w="1477" w:type="dxa"/>
                  <w:vAlign w:val="center"/>
                </w:tcPr>
                <w:p>
                  <w:pPr>
                    <w:wordWrap/>
                    <w:adjustRightInd/>
                    <w:snapToGrid/>
                    <w:spacing w:line="240" w:lineRule="auto"/>
                    <w:ind w:left="0" w:leftChars="0" w:right="0" w:firstLine="210" w:firstLineChars="1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w:t>
                  </w:r>
                </w:p>
              </w:tc>
              <w:tc>
                <w:tcPr>
                  <w:tcW w:w="2034" w:type="dxa"/>
                  <w:vAlign w:val="center"/>
                </w:tcPr>
                <w:p>
                  <w:pPr>
                    <w:tabs>
                      <w:tab w:val="left" w:pos="5760"/>
                    </w:tabs>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项目生活污水</w:t>
                  </w:r>
                  <w:r>
                    <w:rPr>
                      <w:rFonts w:hint="default" w:ascii="Times New Roman" w:hAnsi="Times New Roman" w:eastAsia="宋体" w:cs="Times New Roman"/>
                      <w:color w:val="auto"/>
                      <w:kern w:val="0"/>
                      <w:sz w:val="21"/>
                      <w:szCs w:val="21"/>
                    </w:rPr>
                    <w:t>经</w:t>
                  </w:r>
                  <w:r>
                    <w:rPr>
                      <w:rFonts w:hint="eastAsia" w:ascii="Times New Roman" w:hAnsi="Times New Roman" w:cs="Times New Roman"/>
                      <w:color w:val="auto"/>
                      <w:kern w:val="0"/>
                      <w:sz w:val="21"/>
                      <w:szCs w:val="21"/>
                      <w:lang w:eastAsia="zh-CN"/>
                    </w:rPr>
                    <w:t>隔油</w:t>
                  </w:r>
                  <w:r>
                    <w:rPr>
                      <w:rFonts w:hint="default" w:ascii="Times New Roman" w:hAnsi="Times New Roman" w:eastAsia="宋体" w:cs="Times New Roman"/>
                      <w:color w:val="auto"/>
                      <w:sz w:val="21"/>
                      <w:szCs w:val="21"/>
                    </w:rPr>
                    <w:t>化粪池处理后，</w:t>
                  </w:r>
                  <w:r>
                    <w:rPr>
                      <w:rFonts w:hint="default" w:ascii="Times New Roman" w:hAnsi="Times New Roman" w:cs="Times New Roman"/>
                      <w:color w:val="auto"/>
                      <w:sz w:val="21"/>
                      <w:szCs w:val="21"/>
                      <w:lang w:eastAsia="zh-CN"/>
                    </w:rPr>
                    <w:t>用做周围农肥。</w:t>
                  </w:r>
                </w:p>
              </w:tc>
              <w:tc>
                <w:tcPr>
                  <w:tcW w:w="1261" w:type="dxa"/>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综合利用</w:t>
                  </w:r>
                </w:p>
              </w:tc>
              <w:tc>
                <w:tcPr>
                  <w:tcW w:w="1734" w:type="dxa"/>
                  <w:vAlign w:val="center"/>
                </w:tcPr>
                <w:p>
                  <w:pPr>
                    <w:widowControl/>
                    <w:wordWrap/>
                    <w:adjustRightInd/>
                    <w:snapToGrid/>
                    <w:spacing w:line="240" w:lineRule="auto"/>
                    <w:ind w:left="0" w:leftChars="0" w:right="38" w:rightChars="18"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799" w:type="dxa"/>
                  <w:vMerge w:val="continue"/>
                  <w:tcBorders>
                    <w:left w:val="nil"/>
                    <w:right w:val="nil"/>
                  </w:tcBorders>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p>
              </w:tc>
              <w:tc>
                <w:tcPr>
                  <w:tcW w:w="1375" w:type="dxa"/>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生产废水</w:t>
                  </w:r>
                </w:p>
              </w:tc>
              <w:tc>
                <w:tcPr>
                  <w:tcW w:w="1477" w:type="dxa"/>
                  <w:vAlign w:val="center"/>
                </w:tcPr>
                <w:p>
                  <w:pPr>
                    <w:wordWrap/>
                    <w:adjustRightInd/>
                    <w:snapToGrid/>
                    <w:spacing w:line="240" w:lineRule="auto"/>
                    <w:ind w:left="0" w:leftChars="0" w:right="0" w:firstLine="210" w:firstLineChars="100"/>
                    <w:jc w:val="both"/>
                    <w:textAlignment w:val="auto"/>
                    <w:outlineLvl w:val="9"/>
                    <w:rPr>
                      <w:rFonts w:hint="default" w:ascii="Times New Roman" w:hAnsi="Times New Roman" w:eastAsia="宋体" w:cs="Times New Roman"/>
                      <w:color w:val="auto"/>
                      <w:sz w:val="21"/>
                      <w:szCs w:val="21"/>
                    </w:rPr>
                  </w:pPr>
                  <w:r>
                    <w:rPr>
                      <w:rFonts w:hint="eastAsia" w:cs="Times New Roman"/>
                      <w:color w:val="auto"/>
                      <w:sz w:val="21"/>
                      <w:szCs w:val="21"/>
                      <w:lang w:eastAsia="zh-CN"/>
                    </w:rPr>
                    <w:t>生产废水</w:t>
                  </w:r>
                </w:p>
              </w:tc>
              <w:tc>
                <w:tcPr>
                  <w:tcW w:w="2034" w:type="dxa"/>
                  <w:vAlign w:val="center"/>
                </w:tcPr>
                <w:p>
                  <w:pPr>
                    <w:tabs>
                      <w:tab w:val="left" w:pos="5760"/>
                    </w:tabs>
                    <w:wordWrap/>
                    <w:adjustRightInd/>
                    <w:snapToGrid/>
                    <w:spacing w:line="240" w:lineRule="auto"/>
                    <w:ind w:left="0" w:leftChars="0" w:right="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循环使用</w:t>
                  </w:r>
                </w:p>
              </w:tc>
              <w:tc>
                <w:tcPr>
                  <w:tcW w:w="1261" w:type="dxa"/>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不外排</w:t>
                  </w:r>
                </w:p>
              </w:tc>
              <w:tc>
                <w:tcPr>
                  <w:tcW w:w="1734" w:type="dxa"/>
                  <w:vAlign w:val="center"/>
                </w:tcPr>
                <w:p>
                  <w:pPr>
                    <w:widowControl/>
                    <w:wordWrap/>
                    <w:adjustRightInd/>
                    <w:snapToGrid/>
                    <w:spacing w:line="240" w:lineRule="auto"/>
                    <w:ind w:left="0" w:leftChars="0" w:right="38" w:rightChars="18"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对湿法除尘系统进行检修，并在外围修建围堰。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99" w:type="dxa"/>
                  <w:vMerge w:val="restart"/>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w:t>
                  </w:r>
                </w:p>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w:t>
                  </w:r>
                </w:p>
              </w:tc>
              <w:tc>
                <w:tcPr>
                  <w:tcW w:w="1375" w:type="dxa"/>
                  <w:vMerge w:val="restart"/>
                  <w:vAlign w:val="center"/>
                </w:tcPr>
                <w:p>
                  <w:pPr>
                    <w:wordWrap/>
                    <w:adjustRightInd/>
                    <w:snapToGrid/>
                    <w:spacing w:line="240" w:lineRule="auto"/>
                    <w:ind w:left="0" w:leftChars="0" w:right="0" w:firstLine="0" w:firstLineChars="0"/>
                    <w:jc w:val="both"/>
                    <w:textAlignment w:val="auto"/>
                    <w:outlineLvl w:val="9"/>
                    <w:rPr>
                      <w:rFonts w:hint="default" w:ascii="Times New Roman" w:hAnsi="Times New Roman" w:eastAsia="宋体" w:cs="Times New Roman"/>
                      <w:color w:val="auto"/>
                      <w:sz w:val="21"/>
                      <w:szCs w:val="21"/>
                    </w:rPr>
                  </w:pPr>
                </w:p>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生产过程</w:t>
                  </w:r>
                </w:p>
              </w:tc>
              <w:tc>
                <w:tcPr>
                  <w:tcW w:w="1477" w:type="dxa"/>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废物料、废包装材料</w:t>
                  </w:r>
                </w:p>
              </w:tc>
              <w:tc>
                <w:tcPr>
                  <w:tcW w:w="2034" w:type="dxa"/>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外售给</w:t>
                  </w:r>
                  <w:r>
                    <w:rPr>
                      <w:rFonts w:hint="eastAsia" w:ascii="Times New Roman" w:hAnsi="Times New Roman" w:cs="Times New Roman"/>
                      <w:color w:val="auto"/>
                      <w:sz w:val="21"/>
                      <w:szCs w:val="21"/>
                      <w:lang w:eastAsia="zh-CN"/>
                    </w:rPr>
                    <w:t>废品站</w:t>
                  </w:r>
                </w:p>
              </w:tc>
              <w:tc>
                <w:tcPr>
                  <w:tcW w:w="1261" w:type="dxa"/>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对周围环境影响不大</w:t>
                  </w:r>
                </w:p>
              </w:tc>
              <w:tc>
                <w:tcPr>
                  <w:tcW w:w="1734" w:type="dxa"/>
                  <w:vAlign w:val="center"/>
                </w:tcPr>
                <w:p>
                  <w:pPr>
                    <w:widowControl/>
                    <w:wordWrap/>
                    <w:adjustRightInd/>
                    <w:snapToGrid/>
                    <w:spacing w:line="240" w:lineRule="auto"/>
                    <w:ind w:left="0" w:leftChars="0" w:right="38" w:rightChars="18"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99" w:type="dxa"/>
                  <w:vMerge w:val="continue"/>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p>
              </w:tc>
              <w:tc>
                <w:tcPr>
                  <w:tcW w:w="1375" w:type="dxa"/>
                  <w:vMerge w:val="continue"/>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p>
              </w:tc>
              <w:tc>
                <w:tcPr>
                  <w:tcW w:w="1477" w:type="dxa"/>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w:t>
                  </w:r>
                  <w:r>
                    <w:rPr>
                      <w:rFonts w:hint="eastAsia" w:cs="Times New Roman"/>
                      <w:color w:val="auto"/>
                      <w:sz w:val="21"/>
                      <w:szCs w:val="21"/>
                      <w:lang w:eastAsia="zh-CN"/>
                    </w:rPr>
                    <w:t>润滑油</w:t>
                  </w:r>
                  <w:r>
                    <w:rPr>
                      <w:rFonts w:hint="eastAsia" w:ascii="Times New Roman" w:hAnsi="Times New Roman" w:cs="Times New Roman"/>
                      <w:color w:val="auto"/>
                      <w:sz w:val="21"/>
                      <w:szCs w:val="21"/>
                      <w:lang w:eastAsia="zh-CN"/>
                    </w:rPr>
                    <w:t>、废</w:t>
                  </w:r>
                  <w:r>
                    <w:rPr>
                      <w:rFonts w:hint="eastAsia" w:cs="Times New Roman"/>
                      <w:color w:val="auto"/>
                      <w:sz w:val="21"/>
                      <w:szCs w:val="21"/>
                      <w:lang w:eastAsia="zh-CN"/>
                    </w:rPr>
                    <w:t>润滑油</w:t>
                  </w:r>
                  <w:r>
                    <w:rPr>
                      <w:rFonts w:hint="eastAsia" w:ascii="Times New Roman" w:hAnsi="Times New Roman" w:cs="Times New Roman"/>
                      <w:color w:val="auto"/>
                      <w:sz w:val="21"/>
                      <w:szCs w:val="21"/>
                      <w:lang w:eastAsia="zh-CN"/>
                    </w:rPr>
                    <w:t>桶</w:t>
                  </w:r>
                </w:p>
              </w:tc>
              <w:tc>
                <w:tcPr>
                  <w:tcW w:w="2034" w:type="dxa"/>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集中收集后交由有资质的单位处置</w:t>
                  </w:r>
                </w:p>
              </w:tc>
              <w:tc>
                <w:tcPr>
                  <w:tcW w:w="1261" w:type="dxa"/>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合理处置</w:t>
                  </w:r>
                </w:p>
              </w:tc>
              <w:tc>
                <w:tcPr>
                  <w:tcW w:w="1734" w:type="dxa"/>
                  <w:vAlign w:val="center"/>
                </w:tcPr>
                <w:p>
                  <w:pPr>
                    <w:widowControl/>
                    <w:wordWrap/>
                    <w:adjustRightInd/>
                    <w:snapToGrid/>
                    <w:spacing w:line="240" w:lineRule="auto"/>
                    <w:ind w:left="0" w:leftChars="0" w:right="38" w:rightChars="18"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按规范设立单独的危废暂存间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99" w:type="dxa"/>
                  <w:vMerge w:val="continue"/>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p>
              </w:tc>
              <w:tc>
                <w:tcPr>
                  <w:tcW w:w="1375" w:type="dxa"/>
                  <w:vMerge w:val="continue"/>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p>
              </w:tc>
              <w:tc>
                <w:tcPr>
                  <w:tcW w:w="1477" w:type="dxa"/>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2034" w:type="dxa"/>
                  <w:vAlign w:val="center"/>
                </w:tcPr>
                <w:p>
                  <w:pPr>
                    <w:wordWrap/>
                    <w:adjustRightInd/>
                    <w:snapToGrid/>
                    <w:spacing w:line="240" w:lineRule="auto"/>
                    <w:ind w:left="0" w:leftChars="0" w:right="0" w:firstLine="0" w:firstLineChars="0"/>
                    <w:jc w:val="both"/>
                    <w:textAlignment w:val="auto"/>
                    <w:outlineLvl w:val="9"/>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送生活垃圾填埋场</w:t>
                  </w:r>
                </w:p>
              </w:tc>
              <w:tc>
                <w:tcPr>
                  <w:tcW w:w="1261" w:type="dxa"/>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合理处置</w:t>
                  </w:r>
                </w:p>
              </w:tc>
              <w:tc>
                <w:tcPr>
                  <w:tcW w:w="1734" w:type="dxa"/>
                  <w:vAlign w:val="center"/>
                </w:tcPr>
                <w:p>
                  <w:pPr>
                    <w:widowControl/>
                    <w:wordWrap/>
                    <w:adjustRightInd/>
                    <w:snapToGrid/>
                    <w:spacing w:line="240" w:lineRule="auto"/>
                    <w:ind w:left="0" w:leftChars="0" w:right="38" w:rightChars="18"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99" w:type="dxa"/>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6147" w:type="dxa"/>
                  <w:gridSpan w:val="4"/>
                  <w:vAlign w:val="center"/>
                </w:tcPr>
                <w:p>
                  <w:pPr>
                    <w:wordWrap/>
                    <w:adjustRightInd/>
                    <w:snapToGrid/>
                    <w:spacing w:line="240" w:lineRule="auto"/>
                    <w:ind w:left="0" w:leftChars="0" w:righ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采取隔声降噪措施后达标排放，对周围环境影响较小</w:t>
                  </w:r>
                </w:p>
              </w:tc>
              <w:tc>
                <w:tcPr>
                  <w:tcW w:w="1734" w:type="dxa"/>
                  <w:vAlign w:val="center"/>
                </w:tcPr>
                <w:p>
                  <w:pPr>
                    <w:widowControl/>
                    <w:wordWrap/>
                    <w:adjustRightInd/>
                    <w:snapToGrid/>
                    <w:spacing w:line="240" w:lineRule="auto"/>
                    <w:ind w:left="0" w:leftChars="0" w:right="38" w:rightChars="18"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w:t>
                  </w:r>
                </w:p>
              </w:tc>
            </w:tr>
          </w:tbl>
          <w:p>
            <w:pPr>
              <w:adjustRightInd w:val="0"/>
              <w:snapToGrid w:val="0"/>
              <w:spacing w:line="360" w:lineRule="auto"/>
              <w:ind w:firstLine="480" w:firstLineChars="200"/>
              <w:rPr>
                <w:sz w:val="24"/>
              </w:rPr>
            </w:pPr>
          </w:p>
          <w:p>
            <w:pPr>
              <w:pStyle w:val="12"/>
              <w:rPr>
                <w:rFonts w:hint="default" w:eastAsia="宋体"/>
                <w:lang w:val="en-US" w:eastAsia="zh-CN"/>
              </w:rPr>
            </w:pPr>
            <w:r>
              <w:rPr>
                <w:rFonts w:hint="eastAsia"/>
                <w:lang w:val="en-US" w:eastAsia="zh-CN"/>
              </w:rPr>
              <w:t xml:space="preserve">    </w:t>
            </w:r>
          </w:p>
          <w:p>
            <w:pPr>
              <w:pStyle w:val="12"/>
              <w:rPr>
                <w:rFonts w:hint="default" w:eastAsia="宋体"/>
                <w:lang w:val="en-US" w:eastAsia="zh-CN"/>
              </w:rPr>
            </w:pPr>
            <w:r>
              <w:rPr>
                <w:rFonts w:hint="eastAsia"/>
                <w:lang w:val="en-US" w:eastAsia="zh-CN"/>
              </w:rPr>
              <w:t xml:space="preserve">    </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tc>
      </w:tr>
    </w:tbl>
    <w:p>
      <w:pPr>
        <w:pStyle w:val="100"/>
        <w:spacing w:before="0" w:after="0"/>
        <w:jc w:val="both"/>
        <w:rPr>
          <w:color w:val="auto"/>
          <w:sz w:val="30"/>
          <w:szCs w:val="30"/>
        </w:rPr>
      </w:pPr>
      <w:bookmarkStart w:id="26" w:name="_Toc514143745"/>
      <w:r>
        <w:rPr>
          <w:color w:val="auto"/>
          <w:sz w:val="30"/>
          <w:szCs w:val="30"/>
        </w:rPr>
        <w:t>二、建设项目所在地自然环境简况</w:t>
      </w:r>
      <w:bookmarkEnd w:id="6"/>
      <w:bookmarkEnd w:id="26"/>
    </w:p>
    <w:tbl>
      <w:tblPr>
        <w:tblStyle w:val="38"/>
        <w:tblW w:w="93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310" w:type="dxa"/>
            <w:vAlign w:val="top"/>
          </w:tcPr>
          <w:p>
            <w:pPr>
              <w:adjustRightInd w:val="0"/>
              <w:snapToGrid w:val="0"/>
              <w:spacing w:line="360" w:lineRule="auto"/>
              <w:rPr>
                <w:kern w:val="28"/>
                <w:sz w:val="24"/>
              </w:rPr>
            </w:pPr>
            <w:r>
              <w:rPr>
                <w:b/>
                <w:sz w:val="28"/>
                <w:szCs w:val="28"/>
              </w:rPr>
              <w:t>自然环境简况（地形、地貌、地质、气候、气象、水文、植被、生物多样性等）：</w:t>
            </w:r>
          </w:p>
          <w:p>
            <w:pPr>
              <w:widowControl/>
              <w:spacing w:line="360" w:lineRule="auto"/>
              <w:ind w:firstLine="482" w:firstLineChars="200"/>
              <w:rPr>
                <w:b/>
                <w:kern w:val="0"/>
                <w:sz w:val="24"/>
              </w:rPr>
            </w:pPr>
            <w:r>
              <w:rPr>
                <w:b/>
                <w:kern w:val="0"/>
                <w:sz w:val="24"/>
              </w:rPr>
              <w:t>1、地理位置</w:t>
            </w:r>
          </w:p>
          <w:p>
            <w:pPr>
              <w:spacing w:line="360" w:lineRule="auto"/>
              <w:ind w:firstLine="480" w:firstLineChars="200"/>
              <w:rPr>
                <w:kern w:val="28"/>
                <w:sz w:val="24"/>
              </w:rPr>
            </w:pPr>
            <w:r>
              <w:rPr>
                <w:rFonts w:hint="eastAsia"/>
                <w:kern w:val="28"/>
                <w:sz w:val="24"/>
                <w:lang w:eastAsia="zh-CN"/>
              </w:rPr>
              <w:t>邵东市</w:t>
            </w:r>
            <w:r>
              <w:rPr>
                <w:kern w:val="28"/>
                <w:sz w:val="24"/>
              </w:rPr>
              <w:t>位于邵阳东经111°30′-112°05′，北纬26°50′-27°28′之间。南北长59km，东西宽56.7km，总面积1768.75km</w:t>
            </w:r>
            <w:r>
              <w:rPr>
                <w:kern w:val="28"/>
                <w:sz w:val="24"/>
                <w:vertAlign w:val="superscript"/>
              </w:rPr>
              <w:t>2</w:t>
            </w:r>
            <w:r>
              <w:rPr>
                <w:kern w:val="28"/>
                <w:sz w:val="24"/>
              </w:rPr>
              <w:t>。县境内交通便捷，娄邵铁路横穿县城，省道315线、320国道和上瑞高速穿越境内。县城设两市镇，县城至省会长沙市217km，至邵阳市区27km。</w:t>
            </w:r>
          </w:p>
          <w:p>
            <w:pPr>
              <w:spacing w:line="360" w:lineRule="auto"/>
              <w:ind w:firstLine="480" w:firstLineChars="200"/>
              <w:rPr>
                <w:kern w:val="28"/>
                <w:sz w:val="24"/>
              </w:rPr>
            </w:pPr>
            <w:r>
              <w:rPr>
                <w:kern w:val="28"/>
                <w:sz w:val="24"/>
              </w:rPr>
              <w:t>本项目位于</w:t>
            </w:r>
            <w:r>
              <w:rPr>
                <w:sz w:val="24"/>
              </w:rPr>
              <w:t>湖南省邵阳市</w:t>
            </w:r>
            <w:r>
              <w:rPr>
                <w:rFonts w:hint="eastAsia"/>
                <w:sz w:val="24"/>
                <w:lang w:eastAsia="zh-CN"/>
              </w:rPr>
              <w:t>邵东市仙槎桥镇平阳村</w:t>
            </w:r>
            <w:r>
              <w:rPr>
                <w:kern w:val="28"/>
                <w:sz w:val="24"/>
              </w:rPr>
              <w:t>，其项目中心点位置为：</w:t>
            </w:r>
            <w:r>
              <w:rPr>
                <w:rFonts w:hint="eastAsia"/>
                <w:sz w:val="24"/>
                <w:szCs w:val="20"/>
                <w:lang w:eastAsia="zh-CN"/>
              </w:rPr>
              <w:t>东经111.691262°、北纬27.146548°</w:t>
            </w:r>
            <w:r>
              <w:rPr>
                <w:kern w:val="28"/>
                <w:sz w:val="24"/>
              </w:rPr>
              <w:t>。项目位置见附图1。</w:t>
            </w:r>
          </w:p>
          <w:p>
            <w:pPr>
              <w:widowControl/>
              <w:spacing w:line="360" w:lineRule="auto"/>
              <w:ind w:firstLine="482" w:firstLineChars="200"/>
              <w:rPr>
                <w:b/>
                <w:kern w:val="0"/>
                <w:sz w:val="24"/>
              </w:rPr>
            </w:pPr>
            <w:r>
              <w:rPr>
                <w:b/>
                <w:kern w:val="0"/>
                <w:sz w:val="24"/>
              </w:rPr>
              <w:t>2、地形、地貌</w:t>
            </w:r>
          </w:p>
          <w:p>
            <w:pPr>
              <w:snapToGrid w:val="0"/>
              <w:spacing w:line="360" w:lineRule="auto"/>
              <w:ind w:firstLine="480" w:firstLineChars="200"/>
              <w:rPr>
                <w:sz w:val="24"/>
              </w:rPr>
            </w:pPr>
            <w:r>
              <w:rPr>
                <w:rFonts w:hint="eastAsia"/>
                <w:sz w:val="24"/>
                <w:lang w:eastAsia="zh-CN"/>
              </w:rPr>
              <w:t>邵东市</w:t>
            </w:r>
            <w:r>
              <w:rPr>
                <w:sz w:val="24"/>
              </w:rPr>
              <w:t>属湘中丘陵地带，为浸融蚀地貌。丘岗地占</w:t>
            </w:r>
            <w:r>
              <w:rPr>
                <w:rFonts w:hint="eastAsia"/>
                <w:sz w:val="24"/>
                <w:lang w:eastAsia="zh-CN"/>
              </w:rPr>
              <w:t>全市</w:t>
            </w:r>
            <w:r>
              <w:rPr>
                <w:sz w:val="24"/>
              </w:rPr>
              <w:t>总面积的61.18%，山地占21.69%，</w:t>
            </w:r>
            <w:r>
              <w:fldChar w:fldCharType="begin"/>
            </w:r>
            <w:r>
              <w:instrText xml:space="preserve"> HYPERLINK "http://baike.baidu.com/view/26000.htm" \t "_blank" </w:instrText>
            </w:r>
            <w:r>
              <w:fldChar w:fldCharType="separate"/>
            </w:r>
            <w:r>
              <w:rPr>
                <w:sz w:val="24"/>
              </w:rPr>
              <w:t>平原</w:t>
            </w:r>
            <w:r>
              <w:rPr>
                <w:sz w:val="24"/>
              </w:rPr>
              <w:fldChar w:fldCharType="end"/>
            </w:r>
            <w:r>
              <w:rPr>
                <w:sz w:val="24"/>
              </w:rPr>
              <w:t>多为溪谷平原，仅占10.85%。地势南北崛起向中部倾斜，中部抬升向东西两向成阶梯式倾斜，成为境内三大水系的分水岭。</w:t>
            </w:r>
            <w:r>
              <w:rPr>
                <w:rFonts w:hint="eastAsia"/>
                <w:sz w:val="24"/>
                <w:lang w:eastAsia="zh-CN"/>
              </w:rPr>
              <w:t>邵东市</w:t>
            </w:r>
            <w:r>
              <w:rPr>
                <w:sz w:val="24"/>
              </w:rPr>
              <w:t>域处雪峰山和</w:t>
            </w:r>
            <w:r>
              <w:fldChar w:fldCharType="begin"/>
            </w:r>
            <w:r>
              <w:instrText xml:space="preserve"> HYPERLINK "http://baike.baidu.com/view/122278.htm" \t "_blank" </w:instrText>
            </w:r>
            <w:r>
              <w:fldChar w:fldCharType="separate"/>
            </w:r>
            <w:r>
              <w:rPr>
                <w:sz w:val="24"/>
              </w:rPr>
              <w:t>南岭</w:t>
            </w:r>
            <w:r>
              <w:rPr>
                <w:sz w:val="24"/>
              </w:rPr>
              <w:fldChar w:fldCharType="end"/>
            </w:r>
            <w:r>
              <w:rPr>
                <w:sz w:val="24"/>
              </w:rPr>
              <w:t>山系之间的过渡地带，境内丘岗谷地遍布，伴有低丘小平原和若干小型盆地。地势为地南北山地崛起，中部抬升向东西倾斜。</w:t>
            </w:r>
          </w:p>
          <w:p>
            <w:pPr>
              <w:adjustRightInd w:val="0"/>
              <w:snapToGrid w:val="0"/>
              <w:spacing w:line="360" w:lineRule="auto"/>
              <w:ind w:firstLine="480" w:firstLineChars="200"/>
              <w:rPr>
                <w:sz w:val="24"/>
              </w:rPr>
            </w:pPr>
            <w:r>
              <w:rPr>
                <w:sz w:val="24"/>
              </w:rPr>
              <w:t>县境位于祁阳山字型构造前弧的强烈褶皱、冲断地带。各种构造形迹复杂，相互干扰破坏，彼此截切穿插。祁阳山字型构造脊柱呈北北东向展布于县境东南部，弧部略向西凸出，从区域看，主要构造线方向大部分为北北东向。按构造形迹发育方向及不同形成时期分为东西向构造、新华夏系构造和祁阳山字型构造三组。区内地层发育较全，除缺失志留系地层以外，从元古界震旦系至第四系均有出露．在县境东南部出露岩性主要为印支期花岗岩、石炭系、泥盆系、奥陶系、寒武系、震旦系砂岩、页岩、灰岩、白云岩、白云质灰岩、硅质岩、浅变质板岩、板岩、浅变质砂岩等，北部出露岩性主要为侏罗系、二叠系、三叠、石炭系、泥盆系砂岩、页岩、灰岩、泥灰岩、煤、石膏矿等。中部、西北部出露岩性主要为第三系、白垩系、二叠系、石炭系灰岩、泥灰岩、白云质灰岩、砂岩、页岩、泥砂岩、白云岩、煤、石膏等。在邵水、测水、蒸水及部分支流两岸发育有第四系松散堆积物。县境第四系残坡积层分布广、覆盖较厚，约2～8m，在花岗岩分布区，风化层厚度达20m以上。县境岩浆岩出露相对较少，主要分布于</w:t>
            </w:r>
            <w:r>
              <w:rPr>
                <w:rFonts w:hint="eastAsia"/>
                <w:sz w:val="24"/>
                <w:lang w:eastAsia="zh-CN"/>
              </w:rPr>
              <w:t>邵东市</w:t>
            </w:r>
            <w:r>
              <w:rPr>
                <w:sz w:val="24"/>
              </w:rPr>
              <w:t>东南角灵官殿、石株桥、茶子山，面积88km，为印支期酸性侵入岩，包含细中粒黑云母二长花岗岩及中粒斑状二云母花岗岩、细粒二云母二长花岗岩。岩浆侵入过程有明显角岩化，蚀变带宽500～1200m，与区内铅、锌、铀、锆石、独居石等矿产关系密切。</w:t>
            </w:r>
          </w:p>
          <w:p>
            <w:pPr>
              <w:adjustRightInd w:val="0"/>
              <w:snapToGrid w:val="0"/>
              <w:spacing w:line="360" w:lineRule="auto"/>
              <w:ind w:firstLine="480" w:firstLineChars="200"/>
              <w:rPr>
                <w:sz w:val="24"/>
              </w:rPr>
            </w:pPr>
            <w:r>
              <w:rPr>
                <w:sz w:val="24"/>
              </w:rPr>
              <w:t>根据国家质量技术监督局《中国地震动参数区划图》和《湖南省地震动反应谱特征周期区划图》显示，本项目所在地域地震基本烈度为</w:t>
            </w:r>
            <w:r>
              <w:rPr>
                <w:rFonts w:hint="eastAsia" w:ascii="宋体" w:hAnsi="宋体" w:cs="宋体"/>
                <w:sz w:val="24"/>
              </w:rPr>
              <w:t>Ⅵ</w:t>
            </w:r>
            <w:r>
              <w:rPr>
                <w:sz w:val="24"/>
              </w:rPr>
              <w:t>度区，地震动反应谱特征值周期为0.45s，地震动峰加速度为0.10g。构造物需抗震设防处理。根据邵阳市主要地震年表（1513-1990）考证邵阳历史上最大的一次地震是1632年2月在隆回县境内发生的4.75级地震。解放以来最大的一次地震是1985年11月12日在邵东大云山发生的地震仅3.3级。据“中国地震动参数区划图”，</w:t>
            </w:r>
            <w:r>
              <w:rPr>
                <w:rFonts w:hint="eastAsia"/>
                <w:sz w:val="24"/>
                <w:lang w:eastAsia="zh-CN"/>
              </w:rPr>
              <w:t>邵东市</w:t>
            </w:r>
            <w:r>
              <w:rPr>
                <w:sz w:val="24"/>
              </w:rPr>
              <w:t>的基本地震烈度为6度，抗震设防烈度为6度；据规范要求本路网工程设计可按6度考虑抗震设施。</w:t>
            </w:r>
          </w:p>
          <w:p>
            <w:pPr>
              <w:adjustRightInd w:val="0"/>
              <w:snapToGrid w:val="0"/>
              <w:spacing w:line="360" w:lineRule="auto"/>
              <w:ind w:firstLine="480" w:firstLineChars="200"/>
              <w:rPr>
                <w:sz w:val="24"/>
              </w:rPr>
            </w:pPr>
            <w:r>
              <w:rPr>
                <w:sz w:val="24"/>
              </w:rPr>
              <w:t>本项目选场址场地地形条件较为简单，地层分布较为均匀，岩土种类较为单一，性质变化幅度较小，区域内地质构造简单，未见滑坡、溶洞等不良地质现象。根据湖南省地震烈度区划，</w:t>
            </w:r>
            <w:r>
              <w:rPr>
                <w:rFonts w:hint="eastAsia"/>
                <w:sz w:val="24"/>
                <w:lang w:eastAsia="zh-CN"/>
              </w:rPr>
              <w:t>邵东市</w:t>
            </w:r>
            <w:r>
              <w:rPr>
                <w:sz w:val="24"/>
              </w:rPr>
              <w:t>地震裂度低于6度。</w:t>
            </w:r>
          </w:p>
          <w:p>
            <w:pPr>
              <w:spacing w:line="360" w:lineRule="auto"/>
              <w:ind w:right="105" w:rightChars="50" w:firstLine="482" w:firstLineChars="200"/>
              <w:rPr>
                <w:b/>
                <w:bCs/>
                <w:sz w:val="24"/>
              </w:rPr>
            </w:pPr>
            <w:r>
              <w:rPr>
                <w:b/>
                <w:bCs/>
                <w:sz w:val="24"/>
              </w:rPr>
              <w:t>3、气候、气象</w:t>
            </w:r>
          </w:p>
          <w:p>
            <w:pPr>
              <w:spacing w:line="360" w:lineRule="auto"/>
              <w:ind w:firstLine="480" w:firstLineChars="200"/>
              <w:rPr>
                <w:bCs/>
                <w:sz w:val="24"/>
              </w:rPr>
            </w:pPr>
            <w:r>
              <w:rPr>
                <w:rFonts w:hint="eastAsia"/>
                <w:bCs/>
                <w:sz w:val="24"/>
                <w:lang w:eastAsia="zh-CN"/>
              </w:rPr>
              <w:t>邵东市</w:t>
            </w:r>
            <w:r>
              <w:rPr>
                <w:bCs/>
                <w:sz w:val="24"/>
              </w:rPr>
              <w:t>属东亚季风气候区，气候温和，雨量充沛。</w:t>
            </w:r>
            <w:r>
              <w:rPr>
                <w:rFonts w:hint="eastAsia"/>
                <w:bCs/>
                <w:sz w:val="24"/>
                <w:lang w:eastAsia="zh-CN"/>
              </w:rPr>
              <w:t>全市</w:t>
            </w:r>
            <w:r>
              <w:rPr>
                <w:bCs/>
                <w:sz w:val="24"/>
              </w:rPr>
              <w:t>多年平均降雨量为1285.7mm，多年平均蒸发量1323.4mm。年平均气温为17.3</w:t>
            </w:r>
            <w:r>
              <w:rPr>
                <w:rFonts w:hint="eastAsia" w:ascii="宋体" w:hAnsi="宋体" w:cs="宋体"/>
                <w:bCs/>
                <w:sz w:val="24"/>
              </w:rPr>
              <w:t>℃</w:t>
            </w:r>
            <w:r>
              <w:rPr>
                <w:bCs/>
                <w:sz w:val="24"/>
              </w:rPr>
              <w:t>，比较稳定，地区差异2</w:t>
            </w:r>
            <w:r>
              <w:rPr>
                <w:rFonts w:hint="eastAsia" w:ascii="宋体" w:hAnsi="宋体" w:cs="宋体"/>
                <w:bCs/>
                <w:sz w:val="24"/>
              </w:rPr>
              <w:t>℃</w:t>
            </w:r>
            <w:r>
              <w:rPr>
                <w:bCs/>
                <w:sz w:val="24"/>
              </w:rPr>
              <w:t>左右，东南部较高，西北较低。全年及夏季主导风向均为东风，年平均风速为1.7m/s。由于是资江、湘江的分水地带，干旱走廊，过境水量较少，人均地表水资源仅为1325m</w:t>
            </w:r>
            <w:r>
              <w:rPr>
                <w:bCs/>
                <w:sz w:val="24"/>
                <w:vertAlign w:val="superscript"/>
              </w:rPr>
              <w:t>3</w:t>
            </w:r>
            <w:r>
              <w:rPr>
                <w:bCs/>
                <w:sz w:val="24"/>
              </w:rPr>
              <w:t>/a，低于全省、全国（2300m</w:t>
            </w:r>
            <w:r>
              <w:rPr>
                <w:bCs/>
                <w:sz w:val="24"/>
                <w:vertAlign w:val="superscript"/>
              </w:rPr>
              <w:t>3</w:t>
            </w:r>
            <w:r>
              <w:rPr>
                <w:bCs/>
                <w:sz w:val="24"/>
              </w:rPr>
              <w:t>/a）的平均水平，是一个水资源贫困县。根据多年统计，大部分年份均有较严重的旱灾发生。</w:t>
            </w:r>
          </w:p>
          <w:p>
            <w:pPr>
              <w:spacing w:line="360" w:lineRule="auto"/>
              <w:ind w:firstLine="480" w:firstLineChars="200"/>
              <w:rPr>
                <w:bCs/>
                <w:sz w:val="24"/>
              </w:rPr>
            </w:pPr>
            <w:r>
              <w:rPr>
                <w:rFonts w:hint="eastAsia"/>
                <w:bCs/>
                <w:sz w:val="24"/>
                <w:lang w:eastAsia="zh-CN"/>
              </w:rPr>
              <w:t>全市</w:t>
            </w:r>
            <w:r>
              <w:rPr>
                <w:bCs/>
                <w:sz w:val="24"/>
              </w:rPr>
              <w:t>年平均气温为17.3</w:t>
            </w:r>
            <w:r>
              <w:rPr>
                <w:rFonts w:hint="eastAsia" w:ascii="宋体" w:hAnsi="宋体" w:cs="宋体"/>
                <w:bCs/>
                <w:sz w:val="24"/>
              </w:rPr>
              <w:t>℃</w:t>
            </w:r>
            <w:r>
              <w:rPr>
                <w:bCs/>
                <w:sz w:val="24"/>
              </w:rPr>
              <w:t>，比较稳定，地区差异2</w:t>
            </w:r>
            <w:r>
              <w:rPr>
                <w:rFonts w:hint="eastAsia" w:ascii="宋体" w:hAnsi="宋体" w:cs="宋体"/>
                <w:bCs/>
                <w:sz w:val="24"/>
              </w:rPr>
              <w:t>℃</w:t>
            </w:r>
            <w:r>
              <w:rPr>
                <w:bCs/>
                <w:sz w:val="24"/>
              </w:rPr>
              <w:t>左右，东南部较高，西北较低。12月受极地高压的温度控制，月平均气温稳定在10</w:t>
            </w:r>
            <w:r>
              <w:rPr>
                <w:rFonts w:hint="eastAsia" w:ascii="宋体" w:hAnsi="宋体" w:cs="宋体"/>
                <w:bCs/>
                <w:sz w:val="24"/>
              </w:rPr>
              <w:t>℃</w:t>
            </w:r>
            <w:r>
              <w:rPr>
                <w:bCs/>
                <w:sz w:val="24"/>
              </w:rPr>
              <w:t>以下。1月冬季风最盛，月平均温度在4.6</w:t>
            </w:r>
            <w:r>
              <w:rPr>
                <w:rFonts w:hint="eastAsia" w:ascii="宋体" w:hAnsi="宋体" w:cs="宋体"/>
                <w:bCs/>
                <w:sz w:val="24"/>
              </w:rPr>
              <w:t>℃</w:t>
            </w:r>
            <w:r>
              <w:rPr>
                <w:bCs/>
                <w:sz w:val="24"/>
              </w:rPr>
              <w:t>左右；3-4月是冬季风向夏季风过渡季节，气温回升迅速；3月平均10.5</w:t>
            </w:r>
            <w:r>
              <w:rPr>
                <w:rFonts w:hint="eastAsia" w:ascii="宋体" w:hAnsi="宋体" w:cs="宋体"/>
                <w:bCs/>
                <w:sz w:val="24"/>
              </w:rPr>
              <w:t>℃</w:t>
            </w:r>
            <w:r>
              <w:rPr>
                <w:bCs/>
                <w:sz w:val="24"/>
              </w:rPr>
              <w:t>左右；4月平均16.4</w:t>
            </w:r>
            <w:r>
              <w:rPr>
                <w:rFonts w:hint="eastAsia" w:ascii="宋体" w:hAnsi="宋体" w:cs="宋体"/>
                <w:bCs/>
                <w:sz w:val="24"/>
              </w:rPr>
              <w:t>℃</w:t>
            </w:r>
            <w:r>
              <w:rPr>
                <w:bCs/>
                <w:sz w:val="24"/>
              </w:rPr>
              <w:t>；5月平均气温稳定在20</w:t>
            </w:r>
            <w:r>
              <w:rPr>
                <w:rFonts w:hint="eastAsia" w:ascii="宋体" w:hAnsi="宋体" w:cs="宋体"/>
                <w:bCs/>
                <w:sz w:val="24"/>
              </w:rPr>
              <w:t>℃</w:t>
            </w:r>
            <w:r>
              <w:rPr>
                <w:bCs/>
                <w:sz w:val="24"/>
              </w:rPr>
              <w:t>以上；7月夏季风最盛，气温最高，平均在28</w:t>
            </w:r>
            <w:r>
              <w:rPr>
                <w:rFonts w:hint="eastAsia" w:ascii="宋体" w:hAnsi="宋体" w:cs="宋体"/>
                <w:bCs/>
                <w:sz w:val="24"/>
              </w:rPr>
              <w:t>℃</w:t>
            </w:r>
            <w:r>
              <w:rPr>
                <w:bCs/>
                <w:sz w:val="24"/>
              </w:rPr>
              <w:t>以上；9月太阳辐射仍强，气温仍高；10月明显下降，稳定在20</w:t>
            </w:r>
            <w:r>
              <w:rPr>
                <w:rFonts w:hint="eastAsia" w:ascii="宋体" w:hAnsi="宋体" w:cs="宋体"/>
                <w:bCs/>
                <w:sz w:val="24"/>
              </w:rPr>
              <w:t>℃</w:t>
            </w:r>
            <w:r>
              <w:rPr>
                <w:bCs/>
                <w:sz w:val="24"/>
              </w:rPr>
              <w:t>以下；11月稳定在14</w:t>
            </w:r>
            <w:r>
              <w:rPr>
                <w:rFonts w:hint="eastAsia" w:ascii="宋体" w:hAnsi="宋体" w:cs="宋体"/>
                <w:bCs/>
                <w:sz w:val="24"/>
              </w:rPr>
              <w:t>℃</w:t>
            </w:r>
            <w:r>
              <w:rPr>
                <w:bCs/>
                <w:sz w:val="24"/>
              </w:rPr>
              <w:t>以下。1956-1990年34年中，极端高温（1971年7月26日）为39.3</w:t>
            </w:r>
            <w:r>
              <w:rPr>
                <w:rFonts w:hint="eastAsia" w:ascii="宋体" w:hAnsi="宋体" w:cs="宋体"/>
                <w:bCs/>
                <w:sz w:val="24"/>
              </w:rPr>
              <w:t>℃</w:t>
            </w:r>
            <w:r>
              <w:rPr>
                <w:bCs/>
                <w:sz w:val="24"/>
              </w:rPr>
              <w:t>，极端低温（1977年1月30日）为-12.1</w:t>
            </w:r>
            <w:r>
              <w:rPr>
                <w:rFonts w:hint="eastAsia" w:ascii="宋体" w:hAnsi="宋体" w:cs="宋体"/>
                <w:bCs/>
                <w:sz w:val="24"/>
              </w:rPr>
              <w:t>℃</w:t>
            </w:r>
            <w:r>
              <w:rPr>
                <w:bCs/>
                <w:sz w:val="24"/>
              </w:rPr>
              <w:t>，月平均气温，7月最高为32.9</w:t>
            </w:r>
            <w:r>
              <w:rPr>
                <w:rFonts w:hint="eastAsia" w:ascii="宋体" w:hAnsi="宋体" w:cs="宋体"/>
                <w:bCs/>
                <w:sz w:val="24"/>
              </w:rPr>
              <w:t>℃</w:t>
            </w:r>
            <w:r>
              <w:rPr>
                <w:bCs/>
                <w:sz w:val="24"/>
              </w:rPr>
              <w:t>，1月最低为1.7</w:t>
            </w:r>
            <w:r>
              <w:rPr>
                <w:rFonts w:hint="eastAsia" w:ascii="宋体" w:hAnsi="宋体" w:cs="宋体"/>
                <w:bCs/>
                <w:sz w:val="24"/>
              </w:rPr>
              <w:t>℃</w:t>
            </w:r>
            <w:r>
              <w:rPr>
                <w:bCs/>
                <w:sz w:val="24"/>
              </w:rPr>
              <w:t>。</w:t>
            </w:r>
          </w:p>
          <w:p>
            <w:pPr>
              <w:spacing w:line="360" w:lineRule="auto"/>
              <w:ind w:firstLine="480" w:firstLineChars="200"/>
              <w:rPr>
                <w:bCs/>
                <w:sz w:val="24"/>
              </w:rPr>
            </w:pPr>
            <w:r>
              <w:rPr>
                <w:bCs/>
                <w:sz w:val="24"/>
              </w:rPr>
              <w:t>项目所在地常年主导方向为E风，年出现频率为7.9%。冬季（1月）以ENE风为主，出现频率为11%；春季（4月）以E风为主，出现频率为9.3%，夏季（7月）以SE风为主，出现频率为10.9%；秋季（十月）以NNE风为主，出现频率为9.7%。全年静风频率为28.4%，夏季静风频率较低为22.7%，其他季节为30%左右，年平均风速为1.7m/s。</w:t>
            </w:r>
          </w:p>
          <w:p>
            <w:pPr>
              <w:spacing w:line="360" w:lineRule="auto"/>
              <w:ind w:firstLine="482" w:firstLineChars="200"/>
              <w:rPr>
                <w:b/>
                <w:bCs/>
                <w:sz w:val="24"/>
              </w:rPr>
            </w:pPr>
            <w:r>
              <w:rPr>
                <w:b/>
                <w:bCs/>
                <w:sz w:val="24"/>
              </w:rPr>
              <w:t>四、水文特征</w:t>
            </w:r>
          </w:p>
          <w:p>
            <w:pPr>
              <w:spacing w:line="360" w:lineRule="auto"/>
              <w:ind w:firstLine="480" w:firstLineChars="200"/>
              <w:rPr>
                <w:sz w:val="24"/>
              </w:rPr>
            </w:pPr>
            <w:r>
              <w:rPr>
                <w:rFonts w:hint="eastAsia"/>
                <w:sz w:val="24"/>
                <w:lang w:eastAsia="zh-CN"/>
              </w:rPr>
              <w:t>邵东市</w:t>
            </w:r>
            <w:r>
              <w:rPr>
                <w:sz w:val="24"/>
              </w:rPr>
              <w:t>县境处衡邵干旱走廊，地下水资源贫乏，且地表水资源奇缺，地表水补给主要为大气降水，是全国典型的缺水县之一。</w:t>
            </w:r>
            <w:r>
              <w:rPr>
                <w:rFonts w:hint="eastAsia"/>
                <w:sz w:val="24"/>
                <w:lang w:eastAsia="zh-CN"/>
              </w:rPr>
              <w:t>邵东市</w:t>
            </w:r>
            <w:r>
              <w:rPr>
                <w:sz w:val="24"/>
              </w:rPr>
              <w:t>境内有邵水、蒸水、测水三大地表水系，蒸水、测水向东流入湘江，邵水向西注入资江。总径流量年均24.87亿立方米。</w:t>
            </w:r>
          </w:p>
          <w:p>
            <w:pPr>
              <w:adjustRightInd w:val="0"/>
              <w:snapToGrid w:val="0"/>
              <w:spacing w:line="360" w:lineRule="auto"/>
              <w:ind w:firstLine="480" w:firstLineChars="200"/>
              <w:rPr>
                <w:sz w:val="24"/>
              </w:rPr>
            </w:pPr>
            <w:r>
              <w:rPr>
                <w:sz w:val="24"/>
              </w:rPr>
              <w:t>蒸水，全长约200km，是湘江一条较大的支流，俗称草河。它发源于</w:t>
            </w:r>
            <w:r>
              <w:rPr>
                <w:rFonts w:hint="eastAsia"/>
                <w:sz w:val="24"/>
                <w:lang w:eastAsia="zh-CN"/>
              </w:rPr>
              <w:t>邵东市</w:t>
            </w:r>
            <w:r>
              <w:rPr>
                <w:sz w:val="24"/>
              </w:rPr>
              <w:t>最高峰大云山脚下，于衡阳县金兰镇入境，呈“乙”字型，流经该县三湖镇、渣江镇、台源镇、西渡、三塘，呆鹰岭等地，于石鼓区注入湘江。</w:t>
            </w:r>
          </w:p>
          <w:p>
            <w:pPr>
              <w:adjustRightInd w:val="0"/>
              <w:snapToGrid w:val="0"/>
              <w:spacing w:line="360" w:lineRule="auto"/>
              <w:ind w:firstLine="480" w:firstLineChars="200"/>
              <w:rPr>
                <w:sz w:val="24"/>
              </w:rPr>
            </w:pPr>
            <w:r>
              <w:rPr>
                <w:sz w:val="24"/>
              </w:rPr>
              <w:t>测水为湘江二级支流、涟水一级支流，发源于</w:t>
            </w:r>
            <w:r>
              <w:rPr>
                <w:rFonts w:hint="eastAsia"/>
                <w:sz w:val="24"/>
                <w:lang w:eastAsia="zh-CN"/>
              </w:rPr>
              <w:t>邵东市</w:t>
            </w:r>
            <w:r>
              <w:rPr>
                <w:sz w:val="24"/>
              </w:rPr>
              <w:t>古塘冲，流经</w:t>
            </w:r>
            <w:r>
              <w:rPr>
                <w:rFonts w:hint="eastAsia"/>
                <w:sz w:val="24"/>
                <w:lang w:eastAsia="zh-CN"/>
              </w:rPr>
              <w:t>邵东市</w:t>
            </w:r>
            <w:r>
              <w:rPr>
                <w:sz w:val="24"/>
              </w:rPr>
              <w:t>砂石、双江桥，双峰县测水桥、湄水桥、底洲塘、永丰镇、湾头、厅埠头，于双峰县溪口汇入涟水，沿途纳洪福铺、刘家湾、翔德堂、石子江、深江、泥湾段、城坪、四安埠沙河、金溪、小窑等支流，河道全长105km，河流坡降1.07‰，流域面积1822km。</w:t>
            </w:r>
          </w:p>
          <w:p>
            <w:pPr>
              <w:spacing w:line="360" w:lineRule="auto"/>
              <w:ind w:firstLine="480" w:firstLineChars="200"/>
              <w:rPr>
                <w:sz w:val="24"/>
              </w:rPr>
            </w:pPr>
            <w:r>
              <w:rPr>
                <w:sz w:val="24"/>
              </w:rPr>
              <w:t>邵水河是资江的主要支流之一，发源于</w:t>
            </w:r>
            <w:r>
              <w:rPr>
                <w:rFonts w:hint="eastAsia"/>
                <w:sz w:val="24"/>
                <w:lang w:eastAsia="zh-CN"/>
              </w:rPr>
              <w:t>邵东市</w:t>
            </w:r>
            <w:r>
              <w:rPr>
                <w:sz w:val="24"/>
              </w:rPr>
              <w:t>双凤乡回龙峰西北麓，途经龙公桥乡、棠下、周官桥乡、两市塘、牛马司镇、魏家桥镇、大祥区、双清区，于邵阳市区沿江桥从右岸汇入资江。邵水河全长112公里，境内流域面积1965km</w:t>
            </w:r>
            <w:r>
              <w:rPr>
                <w:sz w:val="24"/>
                <w:vertAlign w:val="superscript"/>
              </w:rPr>
              <w:t>2</w:t>
            </w:r>
            <w:r>
              <w:rPr>
                <w:sz w:val="24"/>
              </w:rPr>
              <w:t>，总径流年均11.47亿m³，平均水力坡降0.79‰，平均流速为0.5m/s，全年最大流量1350m</w:t>
            </w:r>
            <w:r>
              <w:rPr>
                <w:sz w:val="24"/>
                <w:vertAlign w:val="superscript"/>
              </w:rPr>
              <w:t>3</w:t>
            </w:r>
            <w:r>
              <w:rPr>
                <w:sz w:val="24"/>
              </w:rPr>
              <w:t>/s，最枯月平均流量4.7m</w:t>
            </w:r>
            <w:r>
              <w:rPr>
                <w:sz w:val="24"/>
                <w:vertAlign w:val="superscript"/>
              </w:rPr>
              <w:t>3</w:t>
            </w:r>
            <w:r>
              <w:rPr>
                <w:sz w:val="24"/>
              </w:rPr>
              <w:t>/s（90%保证率）。其中较大的支流有槎江、西洋江、檀江。邵水流经</w:t>
            </w:r>
            <w:r>
              <w:rPr>
                <w:rFonts w:hint="eastAsia"/>
                <w:sz w:val="24"/>
                <w:lang w:eastAsia="zh-CN"/>
              </w:rPr>
              <w:t>邵东市</w:t>
            </w:r>
            <w:r>
              <w:rPr>
                <w:sz w:val="24"/>
              </w:rPr>
              <w:t>流域又名桐江(根据DB43/023-2005的规定以及当地群众的习惯，桐江在兴隆水厂梅子坝上游河段习惯称作“桐江”，在梅子坝下游习惯称作“邵水”)。</w:t>
            </w:r>
          </w:p>
          <w:p>
            <w:pPr>
              <w:spacing w:line="360" w:lineRule="auto"/>
              <w:ind w:firstLine="480" w:firstLineChars="200"/>
              <w:rPr>
                <w:sz w:val="24"/>
              </w:rPr>
            </w:pPr>
            <w:r>
              <w:rPr>
                <w:sz w:val="24"/>
              </w:rPr>
              <w:t>槎江属资江水系，属资水二级支流，发源于邵阳县郦家坪，流经邵阳县衫木桥、</w:t>
            </w:r>
            <w:r>
              <w:rPr>
                <w:rFonts w:hint="eastAsia"/>
                <w:sz w:val="24"/>
                <w:lang w:eastAsia="zh-CN"/>
              </w:rPr>
              <w:t>邵东市</w:t>
            </w:r>
            <w:r>
              <w:rPr>
                <w:sz w:val="24"/>
              </w:rPr>
              <w:t>江家坪、李家坝、刘家待、仙槎桥、兴隆坳。河流全长41km，流域面积293km</w:t>
            </w:r>
            <w:r>
              <w:rPr>
                <w:sz w:val="24"/>
                <w:vertAlign w:val="superscript"/>
              </w:rPr>
              <w:t>2</w:t>
            </w:r>
            <w:r>
              <w:rPr>
                <w:sz w:val="24"/>
              </w:rPr>
              <w:t>，河流坡降1.35%，槎江流域多年平均径流量1.729亿m</w:t>
            </w:r>
            <w:r>
              <w:rPr>
                <w:sz w:val="24"/>
                <w:vertAlign w:val="superscript"/>
              </w:rPr>
              <w:t>3</w:t>
            </w:r>
            <w:r>
              <w:rPr>
                <w:sz w:val="24"/>
              </w:rPr>
              <w:t>。</w:t>
            </w:r>
          </w:p>
          <w:p>
            <w:pPr>
              <w:numPr>
                <w:ilvl w:val="0"/>
                <w:numId w:val="1"/>
              </w:numPr>
              <w:spacing w:line="360" w:lineRule="auto"/>
              <w:ind w:firstLine="482" w:firstLineChars="200"/>
              <w:rPr>
                <w:b/>
                <w:bCs/>
                <w:sz w:val="24"/>
              </w:rPr>
            </w:pPr>
            <w:r>
              <w:rPr>
                <w:b/>
                <w:bCs/>
                <w:sz w:val="24"/>
              </w:rPr>
              <w:t>生态环境现状</w:t>
            </w:r>
          </w:p>
          <w:p>
            <w:pPr>
              <w:spacing w:line="360" w:lineRule="auto"/>
              <w:ind w:firstLine="480" w:firstLineChars="200"/>
              <w:rPr>
                <w:sz w:val="24"/>
              </w:rPr>
            </w:pPr>
            <w:r>
              <w:rPr>
                <w:rFonts w:hint="eastAsia"/>
                <w:sz w:val="24"/>
                <w:lang w:eastAsia="zh-CN"/>
              </w:rPr>
              <w:t>邵东市</w:t>
            </w:r>
            <w:r>
              <w:rPr>
                <w:sz w:val="24"/>
              </w:rPr>
              <w:t>域处亚热带季风区气候温和，四季分明。春多阴雨，夏暑期长，秋多干旱，冬寒期短。主要植被类型有：常绿阔叶林、常绿落叶阔叶混交林、落叶阔叶林、针叶林、灌草丛组成的次生植物类型、经济林以及竹林等。城区植被以公园、河岸与道路绿化为主。</w:t>
            </w:r>
          </w:p>
          <w:p>
            <w:pPr>
              <w:spacing w:line="360" w:lineRule="auto"/>
              <w:ind w:firstLine="480" w:firstLineChars="200"/>
              <w:rPr>
                <w:sz w:val="24"/>
              </w:rPr>
            </w:pPr>
            <w:r>
              <w:rPr>
                <w:rFonts w:hint="eastAsia"/>
                <w:sz w:val="24"/>
                <w:lang w:eastAsia="zh-CN"/>
              </w:rPr>
              <w:t>邵东市</w:t>
            </w:r>
            <w:r>
              <w:rPr>
                <w:sz w:val="24"/>
              </w:rPr>
              <w:t>境内已知各类动物200余种，其中兽类30种鸟类70余种，</w:t>
            </w:r>
            <w:r>
              <w:fldChar w:fldCharType="begin"/>
            </w:r>
            <w:r>
              <w:instrText xml:space="preserve"> HYPERLINK "http://baike.baidu.com/view/413119.htm" \t "_blank" </w:instrText>
            </w:r>
            <w:r>
              <w:fldChar w:fldCharType="separate"/>
            </w:r>
            <w:r>
              <w:rPr>
                <w:sz w:val="24"/>
              </w:rPr>
              <w:t>爬行类</w:t>
            </w:r>
            <w:r>
              <w:rPr>
                <w:sz w:val="24"/>
              </w:rPr>
              <w:fldChar w:fldCharType="end"/>
            </w:r>
            <w:r>
              <w:rPr>
                <w:sz w:val="24"/>
              </w:rPr>
              <w:t>20种，</w:t>
            </w:r>
            <w:r>
              <w:fldChar w:fldCharType="begin"/>
            </w:r>
            <w:r>
              <w:instrText xml:space="preserve"> HYPERLINK "http://baike.baidu.com/view/413130.htm" \t "_blank" </w:instrText>
            </w:r>
            <w:r>
              <w:fldChar w:fldCharType="separate"/>
            </w:r>
            <w:r>
              <w:rPr>
                <w:sz w:val="24"/>
              </w:rPr>
              <w:t>两栖类</w:t>
            </w:r>
            <w:r>
              <w:rPr>
                <w:sz w:val="24"/>
              </w:rPr>
              <w:fldChar w:fldCharType="end"/>
            </w:r>
            <w:r>
              <w:rPr>
                <w:sz w:val="24"/>
              </w:rPr>
              <w:t>20种，鱼类80余种。</w:t>
            </w:r>
          </w:p>
          <w:p>
            <w:pPr>
              <w:widowControl/>
              <w:autoSpaceDN w:val="0"/>
              <w:snapToGrid w:val="0"/>
              <w:spacing w:line="360" w:lineRule="auto"/>
              <w:ind w:firstLine="480" w:firstLineChars="200"/>
              <w:rPr>
                <w:sz w:val="24"/>
                <w:szCs w:val="28"/>
              </w:rPr>
            </w:pPr>
            <w:r>
              <w:rPr>
                <w:kern w:val="24"/>
                <w:sz w:val="24"/>
              </w:rPr>
              <w:t>根据现场踏勘，项目所在地区域内无野生动物，有山鸡、田鼠、青蛙、山雀等常见物种，家畜以牛、羊、猪为主，家禽以鸡、鸭、鹅为主；野生植物以马尾松、地肤子、杉树、樟树、泡桐、竹子等一般植物居多，</w:t>
            </w:r>
            <w:r>
              <w:rPr>
                <w:sz w:val="24"/>
                <w:szCs w:val="28"/>
              </w:rPr>
              <w:t>无自然保护区和重点文物保护单位，区内未见国家法定珍稀物种。</w:t>
            </w:r>
          </w:p>
          <w:p>
            <w:pPr>
              <w:pStyle w:val="18"/>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六、区域环境功能区划</w:t>
            </w:r>
          </w:p>
          <w:p>
            <w:pPr>
              <w:spacing w:line="360" w:lineRule="auto"/>
              <w:ind w:firstLine="480" w:firstLineChars="200"/>
              <w:rPr>
                <w:sz w:val="24"/>
              </w:rPr>
            </w:pPr>
            <w:r>
              <w:rPr>
                <w:sz w:val="24"/>
              </w:rPr>
              <w:t>本项目所在地环境功能属性见下表。</w:t>
            </w:r>
          </w:p>
          <w:p>
            <w:pPr>
              <w:pStyle w:val="108"/>
              <w:jc w:val="center"/>
              <w:rPr>
                <w:rFonts w:ascii="Times New Roman" w:hAnsi="Times New Roman" w:cs="Times New Roman"/>
                <w:b/>
                <w:color w:val="auto"/>
                <w:sz w:val="21"/>
              </w:rPr>
            </w:pPr>
            <w:r>
              <w:rPr>
                <w:rFonts w:ascii="Times New Roman" w:hAnsi="Times New Roman" w:cs="Times New Roman"/>
                <w:b/>
                <w:color w:val="auto"/>
                <w:sz w:val="21"/>
              </w:rPr>
              <w:t>表2-1  项目所在地环境功能区划汇总</w:t>
            </w:r>
          </w:p>
          <w:tbl>
            <w:tblPr>
              <w:tblStyle w:val="38"/>
              <w:tblW w:w="90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3120"/>
              <w:gridCol w:w="825"/>
              <w:gridCol w:w="44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
                    </w:rPr>
                  </w:pPr>
                  <w:r>
                    <w:rPr>
                      <w:b/>
                    </w:rPr>
                    <w:t>序号</w:t>
                  </w:r>
                </w:p>
              </w:tc>
              <w:tc>
                <w:tcPr>
                  <w:tcW w:w="3120" w:type="dxa"/>
                  <w:vAlign w:val="center"/>
                </w:tcPr>
                <w:p>
                  <w:pPr>
                    <w:adjustRightInd w:val="0"/>
                    <w:snapToGrid w:val="0"/>
                    <w:jc w:val="center"/>
                    <w:rPr>
                      <w:b/>
                    </w:rPr>
                  </w:pPr>
                  <w:r>
                    <w:rPr>
                      <w:b/>
                    </w:rPr>
                    <w:t>项目</w:t>
                  </w:r>
                </w:p>
              </w:tc>
              <w:tc>
                <w:tcPr>
                  <w:tcW w:w="5226" w:type="dxa"/>
                  <w:gridSpan w:val="2"/>
                  <w:vAlign w:val="center"/>
                </w:tcPr>
                <w:p>
                  <w:pPr>
                    <w:adjustRightInd w:val="0"/>
                    <w:snapToGrid w:val="0"/>
                    <w:jc w:val="center"/>
                    <w:rPr>
                      <w:b/>
                    </w:rPr>
                  </w:pPr>
                  <w:r>
                    <w:rPr>
                      <w:b/>
                    </w:rPr>
                    <w:t>功能属性及执行标准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718" w:type="dxa"/>
                  <w:vAlign w:val="center"/>
                </w:tcPr>
                <w:p>
                  <w:pPr>
                    <w:adjustRightInd w:val="0"/>
                    <w:snapToGrid w:val="0"/>
                    <w:jc w:val="center"/>
                    <w:rPr>
                      <w:bCs/>
                    </w:rPr>
                  </w:pPr>
                  <w:r>
                    <w:rPr>
                      <w:bCs/>
                    </w:rPr>
                    <w:t>1</w:t>
                  </w:r>
                </w:p>
              </w:tc>
              <w:tc>
                <w:tcPr>
                  <w:tcW w:w="3120" w:type="dxa"/>
                  <w:vAlign w:val="center"/>
                </w:tcPr>
                <w:p>
                  <w:pPr>
                    <w:adjustRightInd w:val="0"/>
                    <w:snapToGrid w:val="0"/>
                    <w:jc w:val="center"/>
                    <w:rPr>
                      <w:bCs/>
                    </w:rPr>
                  </w:pPr>
                  <w:r>
                    <w:rPr>
                      <w:bCs/>
                    </w:rPr>
                    <w:t>地表水环境功能区划</w:t>
                  </w:r>
                </w:p>
              </w:tc>
              <w:tc>
                <w:tcPr>
                  <w:tcW w:w="825" w:type="dxa"/>
                  <w:vAlign w:val="center"/>
                </w:tcPr>
                <w:p>
                  <w:pPr>
                    <w:adjustRightInd w:val="0"/>
                    <w:snapToGrid w:val="0"/>
                    <w:jc w:val="center"/>
                  </w:pPr>
                  <w:r>
                    <w:rPr>
                      <w:bCs/>
                    </w:rPr>
                    <w:t>槎江</w:t>
                  </w:r>
                </w:p>
                <w:p>
                  <w:pPr>
                    <w:adjustRightInd w:val="0"/>
                    <w:snapToGrid w:val="0"/>
                    <w:jc w:val="center"/>
                  </w:pPr>
                  <w:r>
                    <w:rPr>
                      <w:bCs/>
                    </w:rPr>
                    <w:t>邵水</w:t>
                  </w:r>
                </w:p>
              </w:tc>
              <w:tc>
                <w:tcPr>
                  <w:tcW w:w="4401" w:type="dxa"/>
                  <w:vAlign w:val="center"/>
                </w:tcPr>
                <w:p>
                  <w:pPr>
                    <w:adjustRightInd w:val="0"/>
                    <w:snapToGrid w:val="0"/>
                    <w:jc w:val="center"/>
                    <w:rPr>
                      <w:bCs/>
                    </w:rPr>
                  </w:pPr>
                  <w:r>
                    <w:rPr>
                      <w:bCs/>
                    </w:rPr>
                    <w:t>渔业用水，执行《地表水环境质量标准》（GB3838-2002）</w:t>
                  </w:r>
                  <w:r>
                    <w:rPr>
                      <w:rFonts w:hint="eastAsia" w:ascii="宋体" w:hAnsi="宋体" w:cs="宋体"/>
                      <w:bCs/>
                    </w:rPr>
                    <w:t>Ⅲ</w:t>
                  </w:r>
                  <w:r>
                    <w:rPr>
                      <w:bCs/>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trPr>
              <w:tc>
                <w:tcPr>
                  <w:tcW w:w="718" w:type="dxa"/>
                  <w:vAlign w:val="center"/>
                </w:tcPr>
                <w:p>
                  <w:pPr>
                    <w:adjustRightInd w:val="0"/>
                    <w:snapToGrid w:val="0"/>
                    <w:jc w:val="center"/>
                    <w:rPr>
                      <w:bCs/>
                    </w:rPr>
                  </w:pPr>
                  <w:r>
                    <w:rPr>
                      <w:bCs/>
                    </w:rPr>
                    <w:t>2</w:t>
                  </w:r>
                </w:p>
              </w:tc>
              <w:tc>
                <w:tcPr>
                  <w:tcW w:w="3120" w:type="dxa"/>
                  <w:vAlign w:val="center"/>
                </w:tcPr>
                <w:p>
                  <w:pPr>
                    <w:adjustRightInd w:val="0"/>
                    <w:snapToGrid w:val="0"/>
                    <w:jc w:val="center"/>
                    <w:rPr>
                      <w:bCs/>
                    </w:rPr>
                  </w:pPr>
                  <w:r>
                    <w:rPr>
                      <w:bCs/>
                    </w:rPr>
                    <w:t>环境空气功能区划</w:t>
                  </w:r>
                </w:p>
              </w:tc>
              <w:tc>
                <w:tcPr>
                  <w:tcW w:w="5226" w:type="dxa"/>
                  <w:gridSpan w:val="2"/>
                  <w:vAlign w:val="center"/>
                </w:tcPr>
                <w:p>
                  <w:pPr>
                    <w:adjustRightInd w:val="0"/>
                    <w:snapToGrid w:val="0"/>
                    <w:jc w:val="center"/>
                    <w:rPr>
                      <w:bCs/>
                    </w:rPr>
                  </w:pPr>
                  <w:r>
                    <w:rPr>
                      <w:bCs/>
                    </w:rPr>
                    <w:t>二类区，执行《环境空气质量标准》（GB3095-2012）中的二级标准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trPr>
              <w:tc>
                <w:tcPr>
                  <w:tcW w:w="718" w:type="dxa"/>
                  <w:vAlign w:val="center"/>
                </w:tcPr>
                <w:p>
                  <w:pPr>
                    <w:adjustRightInd w:val="0"/>
                    <w:snapToGrid w:val="0"/>
                    <w:jc w:val="center"/>
                    <w:rPr>
                      <w:bCs/>
                    </w:rPr>
                  </w:pPr>
                  <w:r>
                    <w:rPr>
                      <w:bCs/>
                    </w:rPr>
                    <w:t>3</w:t>
                  </w:r>
                </w:p>
              </w:tc>
              <w:tc>
                <w:tcPr>
                  <w:tcW w:w="3120" w:type="dxa"/>
                  <w:vAlign w:val="center"/>
                </w:tcPr>
                <w:p>
                  <w:pPr>
                    <w:adjustRightInd w:val="0"/>
                    <w:snapToGrid w:val="0"/>
                    <w:jc w:val="center"/>
                    <w:rPr>
                      <w:bCs/>
                    </w:rPr>
                  </w:pPr>
                  <w:r>
                    <w:rPr>
                      <w:bCs/>
                    </w:rPr>
                    <w:t>声环境功能区划</w:t>
                  </w:r>
                </w:p>
              </w:tc>
              <w:tc>
                <w:tcPr>
                  <w:tcW w:w="5226" w:type="dxa"/>
                  <w:gridSpan w:val="2"/>
                  <w:vAlign w:val="center"/>
                </w:tcPr>
                <w:p>
                  <w:pPr>
                    <w:adjustRightInd w:val="0"/>
                    <w:snapToGrid w:val="0"/>
                    <w:jc w:val="center"/>
                    <w:rPr>
                      <w:bCs/>
                    </w:rPr>
                  </w:pPr>
                  <w:r>
                    <w:rPr>
                      <w:bCs/>
                    </w:rPr>
                    <w:t>区域声环境执行《声环境质量标准》（GB3096-2008）中的</w:t>
                  </w:r>
                  <w:r>
                    <w:rPr>
                      <w:rFonts w:hint="eastAsia"/>
                      <w:bCs/>
                      <w:lang w:val="en-US" w:eastAsia="zh-CN"/>
                    </w:rPr>
                    <w:t>2</w:t>
                  </w:r>
                  <w:r>
                    <w:rPr>
                      <w:bCs/>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Cs/>
                    </w:rPr>
                  </w:pPr>
                  <w:r>
                    <w:rPr>
                      <w:bCs/>
                    </w:rPr>
                    <w:t>4</w:t>
                  </w:r>
                </w:p>
              </w:tc>
              <w:tc>
                <w:tcPr>
                  <w:tcW w:w="3120" w:type="dxa"/>
                  <w:vAlign w:val="center"/>
                </w:tcPr>
                <w:p>
                  <w:pPr>
                    <w:adjustRightInd w:val="0"/>
                    <w:snapToGrid w:val="0"/>
                    <w:jc w:val="center"/>
                    <w:rPr>
                      <w:bCs/>
                    </w:rPr>
                  </w:pPr>
                  <w:r>
                    <w:rPr>
                      <w:bCs/>
                    </w:rPr>
                    <w:t>是否是基本农田</w:t>
                  </w:r>
                </w:p>
              </w:tc>
              <w:tc>
                <w:tcPr>
                  <w:tcW w:w="5226" w:type="dxa"/>
                  <w:gridSpan w:val="2"/>
                  <w:vAlign w:val="center"/>
                </w:tcPr>
                <w:p>
                  <w:pPr>
                    <w:adjustRightInd w:val="0"/>
                    <w:snapToGrid w:val="0"/>
                    <w:jc w:val="center"/>
                    <w:rPr>
                      <w:bCs/>
                    </w:rPr>
                  </w:pPr>
                  <w:r>
                    <w:rPr>
                      <w:bCs/>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Cs/>
                    </w:rPr>
                  </w:pPr>
                  <w:r>
                    <w:rPr>
                      <w:bCs/>
                    </w:rPr>
                    <w:t>5</w:t>
                  </w:r>
                </w:p>
              </w:tc>
              <w:tc>
                <w:tcPr>
                  <w:tcW w:w="3120" w:type="dxa"/>
                  <w:vAlign w:val="center"/>
                </w:tcPr>
                <w:p>
                  <w:pPr>
                    <w:adjustRightInd w:val="0"/>
                    <w:snapToGrid w:val="0"/>
                    <w:jc w:val="center"/>
                    <w:rPr>
                      <w:bCs/>
                    </w:rPr>
                  </w:pPr>
                  <w:r>
                    <w:rPr>
                      <w:bCs/>
                    </w:rPr>
                    <w:t>是否是森林公园</w:t>
                  </w:r>
                </w:p>
              </w:tc>
              <w:tc>
                <w:tcPr>
                  <w:tcW w:w="5226" w:type="dxa"/>
                  <w:gridSpan w:val="2"/>
                  <w:vAlign w:val="center"/>
                </w:tcPr>
                <w:p>
                  <w:pPr>
                    <w:adjustRightInd w:val="0"/>
                    <w:snapToGrid w:val="0"/>
                    <w:jc w:val="center"/>
                    <w:rPr>
                      <w:bCs/>
                    </w:rPr>
                  </w:pPr>
                  <w:r>
                    <w:rPr>
                      <w:bCs/>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Cs/>
                    </w:rPr>
                  </w:pPr>
                  <w:r>
                    <w:rPr>
                      <w:bCs/>
                    </w:rPr>
                    <w:t>6</w:t>
                  </w:r>
                </w:p>
              </w:tc>
              <w:tc>
                <w:tcPr>
                  <w:tcW w:w="3120" w:type="dxa"/>
                  <w:vAlign w:val="center"/>
                </w:tcPr>
                <w:p>
                  <w:pPr>
                    <w:adjustRightInd w:val="0"/>
                    <w:snapToGrid w:val="0"/>
                    <w:jc w:val="center"/>
                    <w:rPr>
                      <w:bCs/>
                    </w:rPr>
                  </w:pPr>
                  <w:r>
                    <w:rPr>
                      <w:bCs/>
                    </w:rPr>
                    <w:t>是否是生态功能保护区</w:t>
                  </w:r>
                </w:p>
              </w:tc>
              <w:tc>
                <w:tcPr>
                  <w:tcW w:w="5226" w:type="dxa"/>
                  <w:gridSpan w:val="2"/>
                  <w:vAlign w:val="center"/>
                </w:tcPr>
                <w:p>
                  <w:pPr>
                    <w:adjustRightInd w:val="0"/>
                    <w:snapToGrid w:val="0"/>
                    <w:jc w:val="center"/>
                    <w:rPr>
                      <w:bCs/>
                    </w:rPr>
                  </w:pPr>
                  <w:r>
                    <w:rPr>
                      <w:bCs/>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Cs/>
                    </w:rPr>
                  </w:pPr>
                  <w:r>
                    <w:rPr>
                      <w:bCs/>
                    </w:rPr>
                    <w:t>7</w:t>
                  </w:r>
                </w:p>
              </w:tc>
              <w:tc>
                <w:tcPr>
                  <w:tcW w:w="3120" w:type="dxa"/>
                  <w:vAlign w:val="center"/>
                </w:tcPr>
                <w:p>
                  <w:pPr>
                    <w:adjustRightInd w:val="0"/>
                    <w:snapToGrid w:val="0"/>
                    <w:jc w:val="center"/>
                    <w:rPr>
                      <w:bCs/>
                    </w:rPr>
                  </w:pPr>
                  <w:r>
                    <w:rPr>
                      <w:bCs/>
                    </w:rPr>
                    <w:t>是否水土流失重点防治区</w:t>
                  </w:r>
                </w:p>
              </w:tc>
              <w:tc>
                <w:tcPr>
                  <w:tcW w:w="5226" w:type="dxa"/>
                  <w:gridSpan w:val="2"/>
                  <w:vAlign w:val="center"/>
                </w:tcPr>
                <w:p>
                  <w:pPr>
                    <w:adjustRightInd w:val="0"/>
                    <w:snapToGrid w:val="0"/>
                    <w:jc w:val="center"/>
                    <w:rPr>
                      <w:bCs/>
                    </w:rPr>
                  </w:pPr>
                  <w:r>
                    <w:rPr>
                      <w:bCs/>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Cs/>
                    </w:rPr>
                  </w:pPr>
                  <w:r>
                    <w:rPr>
                      <w:bCs/>
                    </w:rPr>
                    <w:t>8</w:t>
                  </w:r>
                </w:p>
              </w:tc>
              <w:tc>
                <w:tcPr>
                  <w:tcW w:w="3120" w:type="dxa"/>
                  <w:vAlign w:val="center"/>
                </w:tcPr>
                <w:p>
                  <w:pPr>
                    <w:adjustRightInd w:val="0"/>
                    <w:snapToGrid w:val="0"/>
                    <w:jc w:val="center"/>
                    <w:rPr>
                      <w:bCs/>
                    </w:rPr>
                  </w:pPr>
                  <w:r>
                    <w:rPr>
                      <w:bCs/>
                    </w:rPr>
                    <w:t>是否人口密集区</w:t>
                  </w:r>
                </w:p>
              </w:tc>
              <w:tc>
                <w:tcPr>
                  <w:tcW w:w="5226" w:type="dxa"/>
                  <w:gridSpan w:val="2"/>
                  <w:vAlign w:val="center"/>
                </w:tcPr>
                <w:p>
                  <w:pPr>
                    <w:adjustRightInd w:val="0"/>
                    <w:snapToGrid w:val="0"/>
                    <w:jc w:val="center"/>
                    <w:rPr>
                      <w:bCs/>
                    </w:rPr>
                  </w:pPr>
                  <w:r>
                    <w:rPr>
                      <w:bCs/>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Cs/>
                    </w:rPr>
                  </w:pPr>
                  <w:r>
                    <w:rPr>
                      <w:bCs/>
                    </w:rPr>
                    <w:t>9</w:t>
                  </w:r>
                </w:p>
              </w:tc>
              <w:tc>
                <w:tcPr>
                  <w:tcW w:w="3120" w:type="dxa"/>
                  <w:vAlign w:val="center"/>
                </w:tcPr>
                <w:p>
                  <w:pPr>
                    <w:adjustRightInd w:val="0"/>
                    <w:snapToGrid w:val="0"/>
                    <w:jc w:val="center"/>
                    <w:rPr>
                      <w:bCs/>
                    </w:rPr>
                  </w:pPr>
                  <w:r>
                    <w:rPr>
                      <w:bCs/>
                    </w:rPr>
                    <w:t>是否重点文物保护单位</w:t>
                  </w:r>
                </w:p>
              </w:tc>
              <w:tc>
                <w:tcPr>
                  <w:tcW w:w="5226" w:type="dxa"/>
                  <w:gridSpan w:val="2"/>
                  <w:vAlign w:val="center"/>
                </w:tcPr>
                <w:p>
                  <w:pPr>
                    <w:adjustRightInd w:val="0"/>
                    <w:snapToGrid w:val="0"/>
                    <w:jc w:val="center"/>
                    <w:rPr>
                      <w:bCs/>
                    </w:rPr>
                  </w:pPr>
                  <w:r>
                    <w:rPr>
                      <w:bCs/>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Cs/>
                    </w:rPr>
                  </w:pPr>
                  <w:r>
                    <w:rPr>
                      <w:bCs/>
                    </w:rPr>
                    <w:t>10</w:t>
                  </w:r>
                </w:p>
              </w:tc>
              <w:tc>
                <w:tcPr>
                  <w:tcW w:w="3120" w:type="dxa"/>
                  <w:vAlign w:val="center"/>
                </w:tcPr>
                <w:p>
                  <w:pPr>
                    <w:adjustRightInd w:val="0"/>
                    <w:snapToGrid w:val="0"/>
                    <w:jc w:val="center"/>
                    <w:rPr>
                      <w:bCs/>
                    </w:rPr>
                  </w:pPr>
                  <w:r>
                    <w:rPr>
                      <w:bCs/>
                    </w:rPr>
                    <w:t>是否三河、三湖、两控区</w:t>
                  </w:r>
                </w:p>
              </w:tc>
              <w:tc>
                <w:tcPr>
                  <w:tcW w:w="5226" w:type="dxa"/>
                  <w:gridSpan w:val="2"/>
                  <w:vAlign w:val="center"/>
                </w:tcPr>
                <w:p>
                  <w:pPr>
                    <w:adjustRightInd w:val="0"/>
                    <w:snapToGrid w:val="0"/>
                    <w:jc w:val="center"/>
                    <w:rPr>
                      <w:bCs/>
                    </w:rPr>
                  </w:pPr>
                  <w:r>
                    <w:rPr>
                      <w:bCs/>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Cs/>
                    </w:rPr>
                  </w:pPr>
                  <w:r>
                    <w:rPr>
                      <w:bCs/>
                    </w:rPr>
                    <w:t>11</w:t>
                  </w:r>
                </w:p>
              </w:tc>
              <w:tc>
                <w:tcPr>
                  <w:tcW w:w="3120" w:type="dxa"/>
                  <w:vAlign w:val="center"/>
                </w:tcPr>
                <w:p>
                  <w:pPr>
                    <w:adjustRightInd w:val="0"/>
                    <w:snapToGrid w:val="0"/>
                    <w:jc w:val="center"/>
                    <w:rPr>
                      <w:bCs/>
                    </w:rPr>
                  </w:pPr>
                  <w:r>
                    <w:rPr>
                      <w:bCs/>
                    </w:rPr>
                    <w:t>是否水库库区</w:t>
                  </w:r>
                </w:p>
              </w:tc>
              <w:tc>
                <w:tcPr>
                  <w:tcW w:w="5226" w:type="dxa"/>
                  <w:gridSpan w:val="2"/>
                  <w:vAlign w:val="center"/>
                </w:tcPr>
                <w:p>
                  <w:pPr>
                    <w:adjustRightInd w:val="0"/>
                    <w:snapToGrid w:val="0"/>
                    <w:jc w:val="center"/>
                    <w:rPr>
                      <w:bCs/>
                    </w:rPr>
                  </w:pPr>
                  <w:r>
                    <w:rPr>
                      <w:bCs/>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718" w:type="dxa"/>
                  <w:vAlign w:val="center"/>
                </w:tcPr>
                <w:p>
                  <w:pPr>
                    <w:adjustRightInd w:val="0"/>
                    <w:snapToGrid w:val="0"/>
                    <w:jc w:val="center"/>
                    <w:rPr>
                      <w:bCs/>
                    </w:rPr>
                  </w:pPr>
                  <w:r>
                    <w:rPr>
                      <w:bCs/>
                    </w:rPr>
                    <w:t>12</w:t>
                  </w:r>
                </w:p>
              </w:tc>
              <w:tc>
                <w:tcPr>
                  <w:tcW w:w="3120" w:type="dxa"/>
                  <w:vAlign w:val="center"/>
                </w:tcPr>
                <w:p>
                  <w:pPr>
                    <w:adjustRightInd w:val="0"/>
                    <w:snapToGrid w:val="0"/>
                    <w:jc w:val="center"/>
                    <w:rPr>
                      <w:bCs/>
                    </w:rPr>
                  </w:pPr>
                  <w:r>
                    <w:rPr>
                      <w:bCs/>
                    </w:rPr>
                    <w:t>是否污水处理厂纳污集水范围</w:t>
                  </w:r>
                </w:p>
              </w:tc>
              <w:tc>
                <w:tcPr>
                  <w:tcW w:w="5226" w:type="dxa"/>
                  <w:gridSpan w:val="2"/>
                  <w:vAlign w:val="center"/>
                </w:tcPr>
                <w:p>
                  <w:pPr>
                    <w:adjustRightInd w:val="0"/>
                    <w:snapToGrid w:val="0"/>
                    <w:jc w:val="center"/>
                    <w:rPr>
                      <w:bCs/>
                    </w:rPr>
                  </w:pPr>
                  <w:r>
                    <w:rPr>
                      <w:bCs/>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718" w:type="dxa"/>
                  <w:vAlign w:val="center"/>
                </w:tcPr>
                <w:p>
                  <w:pPr>
                    <w:adjustRightInd w:val="0"/>
                    <w:snapToGrid w:val="0"/>
                    <w:jc w:val="center"/>
                    <w:rPr>
                      <w:bCs/>
                    </w:rPr>
                  </w:pPr>
                  <w:r>
                    <w:rPr>
                      <w:bCs/>
                    </w:rPr>
                    <w:t>13</w:t>
                  </w:r>
                </w:p>
              </w:tc>
              <w:tc>
                <w:tcPr>
                  <w:tcW w:w="3120" w:type="dxa"/>
                  <w:vAlign w:val="center"/>
                </w:tcPr>
                <w:p>
                  <w:pPr>
                    <w:adjustRightInd w:val="0"/>
                    <w:snapToGrid w:val="0"/>
                    <w:jc w:val="center"/>
                    <w:rPr>
                      <w:bCs/>
                    </w:rPr>
                  </w:pPr>
                  <w:r>
                    <w:rPr>
                      <w:bCs/>
                    </w:rPr>
                    <w:t>是否属于生态敏感脆弱区</w:t>
                  </w:r>
                </w:p>
              </w:tc>
              <w:tc>
                <w:tcPr>
                  <w:tcW w:w="5226" w:type="dxa"/>
                  <w:gridSpan w:val="2"/>
                  <w:vAlign w:val="center"/>
                </w:tcPr>
                <w:p>
                  <w:pPr>
                    <w:adjustRightInd w:val="0"/>
                    <w:snapToGrid w:val="0"/>
                    <w:jc w:val="center"/>
                    <w:rPr>
                      <w:bCs/>
                    </w:rPr>
                  </w:pPr>
                  <w:r>
                    <w:rPr>
                      <w:bCs/>
                    </w:rPr>
                    <w:t>否</w:t>
                  </w:r>
                </w:p>
              </w:tc>
            </w:tr>
          </w:tbl>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tc>
      </w:tr>
    </w:tbl>
    <w:p>
      <w:pPr>
        <w:pStyle w:val="100"/>
        <w:spacing w:before="0" w:after="0"/>
        <w:jc w:val="both"/>
        <w:rPr>
          <w:color w:val="auto"/>
          <w:sz w:val="30"/>
          <w:szCs w:val="30"/>
        </w:rPr>
      </w:pPr>
      <w:bookmarkStart w:id="27" w:name="_Toc16498"/>
      <w:bookmarkStart w:id="28" w:name="_Toc514143746"/>
      <w:r>
        <w:rPr>
          <w:color w:val="auto"/>
          <w:sz w:val="30"/>
          <w:szCs w:val="30"/>
        </w:rPr>
        <w:t>三、环境质量状况</w:t>
      </w:r>
      <w:bookmarkEnd w:id="27"/>
      <w:bookmarkEnd w:id="28"/>
    </w:p>
    <w:tbl>
      <w:tblPr>
        <w:tblStyle w:val="38"/>
        <w:tblW w:w="93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10" w:type="dxa"/>
            <w:vAlign w:val="top"/>
          </w:tcPr>
          <w:p>
            <w:pPr>
              <w:autoSpaceDE w:val="0"/>
              <w:autoSpaceDN w:val="0"/>
              <w:adjustRightInd w:val="0"/>
              <w:spacing w:beforeLines="50" w:line="360" w:lineRule="auto"/>
              <w:rPr>
                <w:b/>
                <w:bCs/>
                <w:sz w:val="24"/>
              </w:rPr>
            </w:pPr>
            <w:r>
              <w:rPr>
                <w:b/>
                <w:bCs/>
                <w:sz w:val="24"/>
                <w:lang w:val="zh-CN"/>
              </w:rPr>
              <w:t>建设项目所在地区域环境质量现状及主要环境问题（环境空气、地表水、声环境、生态环境等）：</w:t>
            </w:r>
          </w:p>
          <w:p>
            <w:pPr>
              <w:spacing w:line="360" w:lineRule="auto"/>
              <w:ind w:firstLine="492" w:firstLineChars="200"/>
              <w:rPr>
                <w:sz w:val="24"/>
              </w:rPr>
            </w:pPr>
            <w:r>
              <w:rPr>
                <w:spacing w:val="3"/>
                <w:sz w:val="24"/>
              </w:rPr>
              <w:t>根据《环境影响评价技术导则大气环境》（HJ2.2-2018）第6.2.1.1条规定：项目所在区域达标判定，优先采用国家或地方生态环境主管部门公开发布的评价基准年环境质量公告或环境质量报告中的数据或结论，并能满足项目评价要求的，可不再进行现状监测。因此，</w:t>
            </w:r>
            <w:r>
              <w:rPr>
                <w:sz w:val="24"/>
              </w:rPr>
              <w:t>本项目大气环境质量现状数据引用了位于</w:t>
            </w:r>
            <w:r>
              <w:rPr>
                <w:rFonts w:hint="eastAsia"/>
                <w:sz w:val="24"/>
                <w:lang w:eastAsia="zh-CN"/>
              </w:rPr>
              <w:t>邵东市</w:t>
            </w:r>
            <w:r>
              <w:rPr>
                <w:sz w:val="24"/>
              </w:rPr>
              <w:t>的常规监测点201</w:t>
            </w:r>
            <w:r>
              <w:rPr>
                <w:rFonts w:hint="eastAsia"/>
                <w:sz w:val="24"/>
                <w:lang w:val="en-US" w:eastAsia="zh-CN"/>
              </w:rPr>
              <w:t>9</w:t>
            </w:r>
            <w:r>
              <w:rPr>
                <w:sz w:val="24"/>
              </w:rPr>
              <w:t>年1月~201</w:t>
            </w:r>
            <w:r>
              <w:rPr>
                <w:rFonts w:hint="eastAsia"/>
                <w:sz w:val="24"/>
                <w:lang w:val="en-US" w:eastAsia="zh-CN"/>
              </w:rPr>
              <w:t>9</w:t>
            </w:r>
            <w:r>
              <w:rPr>
                <w:sz w:val="24"/>
              </w:rPr>
              <w:t>年12月的监测数据，监测点位于</w:t>
            </w:r>
            <w:r>
              <w:rPr>
                <w:rFonts w:hint="eastAsia"/>
                <w:sz w:val="24"/>
                <w:lang w:eastAsia="zh-CN"/>
              </w:rPr>
              <w:t>邵东市</w:t>
            </w:r>
            <w:r>
              <w:rPr>
                <w:sz w:val="24"/>
              </w:rPr>
              <w:t>兴和大道的空气质量自动监测点（东经111°44′12.3″，北纬27°15′41.7″）。</w:t>
            </w:r>
            <w:r>
              <w:rPr>
                <w:bCs/>
                <w:sz w:val="24"/>
              </w:rPr>
              <w:t>根据</w:t>
            </w:r>
            <w:r>
              <w:rPr>
                <w:sz w:val="24"/>
              </w:rPr>
              <w:t>《环境空气质量监测点位布设技术规范（实行）》（HJ664-2013）中对“环境空气质量评价区域点”的定义，其范围为半径</w:t>
            </w:r>
            <w:r>
              <w:rPr>
                <w:bCs/>
                <w:sz w:val="24"/>
              </w:rPr>
              <w:t>50km</w:t>
            </w:r>
            <w:r>
              <w:rPr>
                <w:sz w:val="24"/>
              </w:rPr>
              <w:t>，</w:t>
            </w:r>
            <w:r>
              <w:rPr>
                <w:bCs/>
                <w:sz w:val="24"/>
              </w:rPr>
              <w:t>本项目厂界距离该监测点约为</w:t>
            </w:r>
            <w:r>
              <w:rPr>
                <w:rFonts w:hint="eastAsia"/>
                <w:bCs/>
                <w:sz w:val="24"/>
                <w:lang w:val="en-US" w:eastAsia="zh-CN"/>
              </w:rPr>
              <w:t>13.7</w:t>
            </w:r>
            <w:r>
              <w:rPr>
                <w:bCs/>
                <w:sz w:val="24"/>
              </w:rPr>
              <w:t>km</w:t>
            </w:r>
            <w:r>
              <w:rPr>
                <w:sz w:val="24"/>
              </w:rPr>
              <w:t>，因此本项目引用该监测点的监测数据是合理可行的。</w:t>
            </w:r>
          </w:p>
          <w:p>
            <w:pPr>
              <w:spacing w:line="360" w:lineRule="auto"/>
              <w:ind w:firstLine="480" w:firstLineChars="200"/>
              <w:jc w:val="left"/>
              <w:rPr>
                <w:sz w:val="24"/>
              </w:rPr>
            </w:pPr>
            <w:r>
              <w:rPr>
                <w:sz w:val="24"/>
              </w:rPr>
              <w:t>检测因子为SO</w:t>
            </w:r>
            <w:r>
              <w:rPr>
                <w:sz w:val="24"/>
                <w:vertAlign w:val="subscript"/>
              </w:rPr>
              <w:t>2</w:t>
            </w:r>
            <w:r>
              <w:rPr>
                <w:sz w:val="24"/>
              </w:rPr>
              <w:t>、NO</w:t>
            </w:r>
            <w:r>
              <w:rPr>
                <w:sz w:val="24"/>
                <w:vertAlign w:val="subscript"/>
              </w:rPr>
              <w:t>2</w:t>
            </w:r>
            <w:r>
              <w:rPr>
                <w:sz w:val="24"/>
              </w:rPr>
              <w:t>、PM</w:t>
            </w:r>
            <w:r>
              <w:rPr>
                <w:sz w:val="24"/>
                <w:vertAlign w:val="subscript"/>
              </w:rPr>
              <w:t>10</w:t>
            </w:r>
            <w:r>
              <w:rPr>
                <w:sz w:val="24"/>
              </w:rPr>
              <w:t>、PM</w:t>
            </w:r>
            <w:r>
              <w:rPr>
                <w:sz w:val="24"/>
                <w:vertAlign w:val="subscript"/>
              </w:rPr>
              <w:t>2.5</w:t>
            </w:r>
            <w:r>
              <w:rPr>
                <w:sz w:val="24"/>
              </w:rPr>
              <w:t>、CO、O</w:t>
            </w:r>
            <w:r>
              <w:rPr>
                <w:sz w:val="24"/>
                <w:vertAlign w:val="subscript"/>
              </w:rPr>
              <w:t>3</w:t>
            </w:r>
            <w:r>
              <w:rPr>
                <w:sz w:val="24"/>
              </w:rPr>
              <w:t>（日最大8小时平均值）。本项目大气环境质量评价执行《环境空气质量标准》（GB3095-2012）二级标准。环境空气质量监测结果详见表3-1。</w:t>
            </w:r>
          </w:p>
          <w:p>
            <w:pPr>
              <w:snapToGrid w:val="0"/>
              <w:spacing w:beforeLines="50"/>
              <w:ind w:firstLine="422" w:firstLineChars="200"/>
              <w:jc w:val="center"/>
              <w:rPr>
                <w:b/>
                <w:bCs/>
                <w:szCs w:val="21"/>
              </w:rPr>
            </w:pPr>
            <w:r>
              <w:rPr>
                <w:b/>
                <w:bCs/>
                <w:szCs w:val="21"/>
              </w:rPr>
              <w:t>表3-1 环境空气质量现状和评价结果  单位：ug/m³</w:t>
            </w:r>
          </w:p>
          <w:tbl>
            <w:tblPr>
              <w:tblStyle w:val="38"/>
              <w:tblW w:w="9000" w:type="dxa"/>
              <w:jc w:val="center"/>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57"/>
              <w:gridCol w:w="1286"/>
              <w:gridCol w:w="1285"/>
              <w:gridCol w:w="1287"/>
              <w:gridCol w:w="1286"/>
              <w:gridCol w:w="12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013" w:type="dxa"/>
                  <w:tcBorders>
                    <w:tl2br w:val="nil"/>
                    <w:tr2bl w:val="nil"/>
                  </w:tcBorders>
                  <w:vAlign w:val="center"/>
                </w:tcPr>
                <w:p>
                  <w:pPr>
                    <w:pStyle w:val="10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污染物</w:t>
                  </w:r>
                </w:p>
              </w:tc>
              <w:tc>
                <w:tcPr>
                  <w:tcW w:w="1557" w:type="dxa"/>
                  <w:tcBorders>
                    <w:tl2br w:val="nil"/>
                    <w:tr2bl w:val="nil"/>
                  </w:tcBorders>
                  <w:vAlign w:val="center"/>
                </w:tcPr>
                <w:p>
                  <w:pPr>
                    <w:pStyle w:val="10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年评价指标</w:t>
                  </w:r>
                </w:p>
              </w:tc>
              <w:tc>
                <w:tcPr>
                  <w:tcW w:w="1286" w:type="dxa"/>
                  <w:tcBorders>
                    <w:tl2br w:val="nil"/>
                    <w:tr2bl w:val="nil"/>
                  </w:tcBorders>
                  <w:vAlign w:val="center"/>
                </w:tcPr>
                <w:p>
                  <w:pPr>
                    <w:pStyle w:val="10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评价标准μg/m</w:t>
                  </w:r>
                  <w:r>
                    <w:rPr>
                      <w:rFonts w:hint="default" w:ascii="Times New Roman" w:hAnsi="Times New Roman" w:eastAsia="宋体" w:cs="Times New Roman"/>
                      <w:sz w:val="21"/>
                      <w:szCs w:val="21"/>
                      <w:vertAlign w:val="superscript"/>
                      <w:lang w:eastAsia="zh-CN"/>
                    </w:rPr>
                    <w:t>3</w:t>
                  </w:r>
                </w:p>
              </w:tc>
              <w:tc>
                <w:tcPr>
                  <w:tcW w:w="1285" w:type="dxa"/>
                  <w:tcBorders>
                    <w:tl2br w:val="nil"/>
                    <w:tr2bl w:val="nil"/>
                  </w:tcBorders>
                  <w:vAlign w:val="center"/>
                </w:tcPr>
                <w:p>
                  <w:pPr>
                    <w:pStyle w:val="10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现状浓度</w:t>
                  </w:r>
                </w:p>
              </w:tc>
              <w:tc>
                <w:tcPr>
                  <w:tcW w:w="1287" w:type="dxa"/>
                  <w:tcBorders>
                    <w:tl2br w:val="nil"/>
                    <w:tr2bl w:val="nil"/>
                  </w:tcBorders>
                  <w:vAlign w:val="center"/>
                </w:tcPr>
                <w:p>
                  <w:pPr>
                    <w:pStyle w:val="10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占标率%</w:t>
                  </w:r>
                </w:p>
              </w:tc>
              <w:tc>
                <w:tcPr>
                  <w:tcW w:w="1286" w:type="dxa"/>
                  <w:tcBorders>
                    <w:tl2br w:val="nil"/>
                    <w:tr2bl w:val="nil"/>
                  </w:tcBorders>
                  <w:vAlign w:val="center"/>
                </w:tcPr>
                <w:p>
                  <w:pPr>
                    <w:pStyle w:val="10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超标率%</w:t>
                  </w:r>
                </w:p>
              </w:tc>
              <w:tc>
                <w:tcPr>
                  <w:tcW w:w="1286" w:type="dxa"/>
                  <w:tcBorders>
                    <w:tl2br w:val="nil"/>
                    <w:tr2bl w:val="nil"/>
                  </w:tcBorders>
                  <w:vAlign w:val="center"/>
                </w:tcPr>
                <w:p>
                  <w:pPr>
                    <w:pStyle w:val="10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013"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p>
              </w:tc>
              <w:tc>
                <w:tcPr>
                  <w:tcW w:w="1557"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年均浓度</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285" w:type="dxa"/>
                  <w:tcBorders>
                    <w:tl2br w:val="nil"/>
                    <w:tr2bl w:val="nil"/>
                  </w:tcBorders>
                  <w:vAlign w:val="center"/>
                </w:tcPr>
                <w:p>
                  <w:pPr>
                    <w:pStyle w:val="93"/>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287" w:type="dxa"/>
                  <w:tcBorders>
                    <w:tl2br w:val="nil"/>
                    <w:tr2bl w:val="nil"/>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rPr>
                    <w:t>25.00%</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013"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p>
              </w:tc>
              <w:tc>
                <w:tcPr>
                  <w:tcW w:w="1557"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年均浓度</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1285" w:type="dxa"/>
                  <w:tcBorders>
                    <w:tl2br w:val="nil"/>
                    <w:tr2bl w:val="nil"/>
                  </w:tcBorders>
                  <w:vAlign w:val="center"/>
                </w:tcPr>
                <w:p>
                  <w:pPr>
                    <w:pStyle w:val="93"/>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21</w:t>
                  </w:r>
                </w:p>
              </w:tc>
              <w:tc>
                <w:tcPr>
                  <w:tcW w:w="1287" w:type="dxa"/>
                  <w:tcBorders>
                    <w:tl2br w:val="nil"/>
                    <w:tr2bl w:val="nil"/>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rPr>
                    <w:t>52.50%</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013"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2.5</w:t>
                  </w:r>
                </w:p>
              </w:tc>
              <w:tc>
                <w:tcPr>
                  <w:tcW w:w="1557"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年均浓度</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1285" w:type="dxa"/>
                  <w:tcBorders>
                    <w:tl2br w:val="nil"/>
                    <w:tr2bl w:val="nil"/>
                  </w:tcBorders>
                  <w:vAlign w:val="center"/>
                </w:tcPr>
                <w:p>
                  <w:pPr>
                    <w:pStyle w:val="93"/>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44</w:t>
                  </w:r>
                </w:p>
              </w:tc>
              <w:tc>
                <w:tcPr>
                  <w:tcW w:w="1287" w:type="dxa"/>
                  <w:tcBorders>
                    <w:tl2br w:val="nil"/>
                    <w:tr2bl w:val="nil"/>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rPr>
                    <w:t>125.71%</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rPr>
                    <w:t>25.71</w:t>
                  </w:r>
                </w:p>
              </w:tc>
              <w:tc>
                <w:tcPr>
                  <w:tcW w:w="1286" w:type="dxa"/>
                  <w:tcBorders>
                    <w:tl2br w:val="nil"/>
                    <w:tr2bl w:val="nil"/>
                  </w:tcBorders>
                  <w:vAlign w:val="center"/>
                </w:tcPr>
                <w:p>
                  <w:pPr>
                    <w:pStyle w:val="93"/>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013"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p>
              </w:tc>
              <w:tc>
                <w:tcPr>
                  <w:tcW w:w="1557"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年均浓度</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1285" w:type="dxa"/>
                  <w:tcBorders>
                    <w:tl2br w:val="nil"/>
                    <w:tr2bl w:val="nil"/>
                  </w:tcBorders>
                  <w:vAlign w:val="center"/>
                </w:tcPr>
                <w:p>
                  <w:pPr>
                    <w:pStyle w:val="93"/>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58</w:t>
                  </w:r>
                </w:p>
              </w:tc>
              <w:tc>
                <w:tcPr>
                  <w:tcW w:w="1287" w:type="dxa"/>
                  <w:tcBorders>
                    <w:tl2br w:val="nil"/>
                    <w:tr2bl w:val="nil"/>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rPr>
                    <w:t>82.86%</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013"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w:t>
                  </w:r>
                </w:p>
              </w:tc>
              <w:tc>
                <w:tcPr>
                  <w:tcW w:w="1557"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日均值第95百分位浓度</w:t>
                  </w:r>
                </w:p>
              </w:tc>
              <w:tc>
                <w:tcPr>
                  <w:tcW w:w="1286" w:type="dxa"/>
                  <w:tcBorders>
                    <w:tl2br w:val="nil"/>
                    <w:tr2bl w:val="nil"/>
                  </w:tcBorders>
                  <w:vAlign w:val="center"/>
                </w:tcPr>
                <w:p>
                  <w:pPr>
                    <w:pStyle w:val="93"/>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none"/>
                    </w:rPr>
                    <w:t>4000</w:t>
                  </w:r>
                </w:p>
              </w:tc>
              <w:tc>
                <w:tcPr>
                  <w:tcW w:w="1285" w:type="dxa"/>
                  <w:tcBorders>
                    <w:tl2br w:val="nil"/>
                    <w:tr2bl w:val="nil"/>
                  </w:tcBorders>
                  <w:vAlign w:val="center"/>
                </w:tcPr>
                <w:p>
                  <w:pPr>
                    <w:pStyle w:val="93"/>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1200</w:t>
                  </w:r>
                </w:p>
              </w:tc>
              <w:tc>
                <w:tcPr>
                  <w:tcW w:w="1287" w:type="dxa"/>
                  <w:tcBorders>
                    <w:tl2br w:val="nil"/>
                    <w:tr2bl w:val="nil"/>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rPr>
                    <w:t>30.00%</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013"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p>
              </w:tc>
              <w:tc>
                <w:tcPr>
                  <w:tcW w:w="1557"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日最大8h平均第90百分位浓度</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w:t>
                  </w:r>
                </w:p>
              </w:tc>
              <w:tc>
                <w:tcPr>
                  <w:tcW w:w="1285" w:type="dxa"/>
                  <w:tcBorders>
                    <w:tl2br w:val="nil"/>
                    <w:tr2bl w:val="nil"/>
                  </w:tcBorders>
                  <w:vAlign w:val="center"/>
                </w:tcPr>
                <w:p>
                  <w:pPr>
                    <w:pStyle w:val="93"/>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145</w:t>
                  </w:r>
                </w:p>
              </w:tc>
              <w:tc>
                <w:tcPr>
                  <w:tcW w:w="1287" w:type="dxa"/>
                  <w:tcBorders>
                    <w:tl2br w:val="nil"/>
                    <w:tr2bl w:val="nil"/>
                  </w:tcBorders>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rPr>
                    <w:t>90.63%</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1286" w:type="dxa"/>
                  <w:tcBorders>
                    <w:tl2br w:val="nil"/>
                    <w:tr2bl w:val="nil"/>
                  </w:tcBorders>
                  <w:vAlign w:val="center"/>
                </w:tcPr>
                <w:p>
                  <w:pPr>
                    <w:pStyle w:val="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pStyle w:val="12"/>
              <w:rPr>
                <w:b/>
                <w:bCs/>
                <w:szCs w:val="21"/>
              </w:rPr>
            </w:pPr>
          </w:p>
          <w:p>
            <w:pPr>
              <w:pStyle w:val="114"/>
              <w:rPr>
                <w:rFonts w:hint="default" w:ascii="Times New Roman" w:hAnsi="Times New Roman" w:cs="Times New Roman"/>
              </w:rPr>
            </w:pPr>
            <w:r>
              <w:rPr>
                <w:rFonts w:hint="default" w:ascii="Times New Roman" w:hAnsi="Times New Roman" w:eastAsia="宋体" w:cs="Times New Roman"/>
                <w:color w:val="auto"/>
                <w:sz w:val="24"/>
                <w:szCs w:val="24"/>
                <w:highlight w:val="none"/>
                <w:lang w:val="en-US" w:eastAsia="zh-CN"/>
              </w:rPr>
              <w:t>根据统计数据结果可知，</w:t>
            </w:r>
            <w:r>
              <w:rPr>
                <w:rFonts w:hint="default" w:ascii="Times New Roman" w:hAnsi="Times New Roman" w:eastAsia="宋体" w:cs="Times New Roman"/>
                <w:lang w:eastAsia="zh-CN"/>
              </w:rPr>
              <w:t>2019年全年城市环境空气质量指数在20～250之间，监测天数365天，优121天，良197天，优良天数318天，优良率87.1%，空气质量综合指数为4.07</w:t>
            </w:r>
            <w:r>
              <w:rPr>
                <w:rFonts w:hint="default" w:ascii="Times New Roman" w:hAnsi="Times New Roman" w:cs="Times New Roman"/>
              </w:rPr>
              <w:t>。</w:t>
            </w:r>
          </w:p>
          <w:p>
            <w:pPr>
              <w:pStyle w:val="114"/>
              <w:rPr>
                <w:rFonts w:hint="default" w:ascii="Times New Roman" w:hAnsi="Times New Roman" w:cs="Times New Roman"/>
              </w:rPr>
            </w:pPr>
            <w:r>
              <w:rPr>
                <w:rFonts w:hint="default" w:ascii="Times New Roman" w:hAnsi="Times New Roman" w:cs="Times New Roman"/>
              </w:rPr>
              <w:t>细颗粒物（PM</w:t>
            </w:r>
            <w:r>
              <w:rPr>
                <w:rFonts w:hint="default" w:ascii="Times New Roman" w:hAnsi="Times New Roman" w:cs="Times New Roman"/>
                <w:vertAlign w:val="subscript"/>
              </w:rPr>
              <w:t>2.5</w:t>
            </w:r>
            <w:r>
              <w:rPr>
                <w:rFonts w:hint="default" w:ascii="Times New Roman" w:hAnsi="Times New Roman" w:cs="Times New Roman"/>
              </w:rPr>
              <w:t>）：年均浓度为</w:t>
            </w:r>
            <w:r>
              <w:rPr>
                <w:rFonts w:hint="default" w:ascii="Times New Roman" w:hAnsi="Times New Roman" w:eastAsia="宋体" w:cs="Times New Roman"/>
                <w:lang w:val="en-US" w:eastAsia="zh-CN"/>
              </w:rPr>
              <w:t>44</w:t>
            </w:r>
            <w:r>
              <w:rPr>
                <w:rFonts w:hint="default" w:ascii="Times New Roman" w:hAnsi="Times New Roman" w:cs="Times New Roman"/>
              </w:rPr>
              <w:t>微克/立方米，未达到《环境空气质量标准》（GB3095-2012）二级标准年平均浓度限值。(超标0.25倍)</w:t>
            </w:r>
          </w:p>
          <w:p>
            <w:pPr>
              <w:pStyle w:val="114"/>
              <w:rPr>
                <w:rFonts w:hint="default" w:ascii="Times New Roman" w:hAnsi="Times New Roman" w:cs="Times New Roman"/>
              </w:rPr>
            </w:pPr>
            <w:r>
              <w:rPr>
                <w:rFonts w:hint="default" w:ascii="Times New Roman" w:hAnsi="Times New Roman" w:cs="Times New Roman"/>
              </w:rPr>
              <w:t>可吸入颗粒物（PM</w:t>
            </w:r>
            <w:r>
              <w:rPr>
                <w:rFonts w:hint="default" w:ascii="Times New Roman" w:hAnsi="Times New Roman" w:cs="Times New Roman"/>
                <w:vertAlign w:val="subscript"/>
              </w:rPr>
              <w:t>10</w:t>
            </w:r>
            <w:r>
              <w:rPr>
                <w:rFonts w:hint="default" w:ascii="Times New Roman" w:hAnsi="Times New Roman" w:cs="Times New Roman"/>
              </w:rPr>
              <w:t>）：年均浓度分别为</w:t>
            </w:r>
            <w:r>
              <w:rPr>
                <w:rFonts w:hint="default" w:ascii="Times New Roman" w:hAnsi="Times New Roman" w:eastAsia="宋体" w:cs="Times New Roman"/>
                <w:lang w:val="en-US" w:eastAsia="zh-CN"/>
              </w:rPr>
              <w:t>58</w:t>
            </w:r>
            <w:r>
              <w:rPr>
                <w:rFonts w:hint="default" w:ascii="Times New Roman" w:hAnsi="Times New Roman" w:cs="Times New Roman"/>
              </w:rPr>
              <w:t>微克/立方米，达到国家环境空气质量二级标准。</w:t>
            </w:r>
          </w:p>
          <w:p>
            <w:pPr>
              <w:pStyle w:val="114"/>
              <w:rPr>
                <w:rFonts w:hint="default" w:ascii="Times New Roman" w:hAnsi="Times New Roman" w:cs="Times New Roman"/>
              </w:rPr>
            </w:pPr>
            <w:r>
              <w:rPr>
                <w:rFonts w:hint="default" w:ascii="Times New Roman" w:hAnsi="Times New Roman" w:cs="Times New Roman"/>
              </w:rPr>
              <w:t>二氧化硫（SO</w:t>
            </w:r>
            <w:r>
              <w:rPr>
                <w:rFonts w:hint="default" w:ascii="Times New Roman" w:hAnsi="Times New Roman" w:cs="Times New Roman"/>
                <w:vertAlign w:val="subscript"/>
              </w:rPr>
              <w:t>2</w:t>
            </w:r>
            <w:r>
              <w:rPr>
                <w:rFonts w:hint="default" w:ascii="Times New Roman" w:hAnsi="Times New Roman" w:cs="Times New Roman"/>
              </w:rPr>
              <w:t>）：年均浓度为</w:t>
            </w:r>
            <w:r>
              <w:rPr>
                <w:rFonts w:hint="default" w:ascii="Times New Roman" w:hAnsi="Times New Roman" w:eastAsia="宋体" w:cs="Times New Roman"/>
                <w:lang w:val="en-US" w:eastAsia="zh-CN"/>
              </w:rPr>
              <w:t>15</w:t>
            </w:r>
            <w:r>
              <w:rPr>
                <w:rFonts w:hint="default" w:ascii="Times New Roman" w:hAnsi="Times New Roman" w:cs="Times New Roman"/>
              </w:rPr>
              <w:t>微克/立方米，达到国家环境空气质量二级标准。</w:t>
            </w:r>
          </w:p>
          <w:p>
            <w:pPr>
              <w:pStyle w:val="114"/>
              <w:rPr>
                <w:rFonts w:hint="default" w:ascii="Times New Roman" w:hAnsi="Times New Roman" w:cs="Times New Roman"/>
              </w:rPr>
            </w:pPr>
            <w:r>
              <w:rPr>
                <w:rFonts w:hint="default" w:ascii="Times New Roman" w:hAnsi="Times New Roman" w:cs="Times New Roman"/>
              </w:rPr>
              <w:t>二氧化氮（NO</w:t>
            </w:r>
            <w:r>
              <w:rPr>
                <w:rFonts w:hint="default" w:ascii="Times New Roman" w:hAnsi="Times New Roman" w:cs="Times New Roman"/>
                <w:vertAlign w:val="subscript"/>
              </w:rPr>
              <w:t>2</w:t>
            </w:r>
            <w:r>
              <w:rPr>
                <w:rFonts w:hint="default" w:ascii="Times New Roman" w:hAnsi="Times New Roman" w:cs="Times New Roman"/>
              </w:rPr>
              <w:t>）：年均浓度为</w:t>
            </w:r>
            <w:r>
              <w:rPr>
                <w:rFonts w:hint="default" w:ascii="Times New Roman" w:hAnsi="Times New Roman" w:eastAsia="宋体" w:cs="Times New Roman"/>
                <w:lang w:val="en-US" w:eastAsia="zh-CN"/>
              </w:rPr>
              <w:t>21</w:t>
            </w:r>
            <w:r>
              <w:rPr>
                <w:rFonts w:hint="default" w:ascii="Times New Roman" w:hAnsi="Times New Roman" w:cs="Times New Roman"/>
              </w:rPr>
              <w:t>微克/立方米，达到国家环境空气质量二级标准。</w:t>
            </w:r>
          </w:p>
          <w:p>
            <w:pPr>
              <w:pStyle w:val="114"/>
              <w:rPr>
                <w:rFonts w:hint="default" w:ascii="Times New Roman" w:hAnsi="Times New Roman" w:cs="Times New Roman"/>
              </w:rPr>
            </w:pPr>
            <w:r>
              <w:rPr>
                <w:rFonts w:hint="default" w:ascii="Times New Roman" w:hAnsi="Times New Roman" w:cs="Times New Roman"/>
              </w:rPr>
              <w:t>臭氧（O</w:t>
            </w:r>
            <w:r>
              <w:rPr>
                <w:rFonts w:hint="default" w:ascii="Times New Roman" w:hAnsi="Times New Roman" w:cs="Times New Roman"/>
                <w:vertAlign w:val="subscript"/>
              </w:rPr>
              <w:t>3</w:t>
            </w:r>
            <w:r>
              <w:rPr>
                <w:rFonts w:hint="default" w:ascii="Times New Roman" w:hAnsi="Times New Roman" w:cs="Times New Roman"/>
              </w:rPr>
              <w:t>）：臭氧日最大8 小时平均第90 百分位数浓度为</w:t>
            </w:r>
            <w:r>
              <w:rPr>
                <w:rFonts w:hint="default" w:ascii="Times New Roman" w:hAnsi="Times New Roman" w:eastAsia="宋体" w:cs="Times New Roman"/>
                <w:lang w:val="en-US" w:eastAsia="zh-CN"/>
              </w:rPr>
              <w:t>145</w:t>
            </w:r>
            <w:r>
              <w:rPr>
                <w:rFonts w:hint="default" w:ascii="Times New Roman" w:hAnsi="Times New Roman" w:cs="Times New Roman"/>
              </w:rPr>
              <w:t>微克/立方米，达到国家环境空气质量二级标准。</w:t>
            </w:r>
          </w:p>
          <w:p>
            <w:pPr>
              <w:spacing w:line="360" w:lineRule="auto"/>
              <w:ind w:firstLine="420" w:firstLineChars="200"/>
              <w:rPr>
                <w:bCs/>
                <w:snapToGrid w:val="0"/>
                <w:kern w:val="0"/>
                <w:sz w:val="24"/>
              </w:rPr>
            </w:pPr>
            <w:r>
              <w:rPr>
                <w:rFonts w:hint="default" w:ascii="Times New Roman" w:hAnsi="Times New Roman" w:cs="Times New Roman"/>
              </w:rPr>
              <w:t>一氧化碳（CO）：CO日均值第95百分位浓度为</w:t>
            </w:r>
            <w:r>
              <w:rPr>
                <w:rFonts w:hint="default" w:ascii="Times New Roman" w:hAnsi="Times New Roman" w:eastAsia="宋体" w:cs="Times New Roman"/>
                <w:lang w:val="en-US" w:eastAsia="zh-CN"/>
              </w:rPr>
              <w:t>1.2</w:t>
            </w:r>
            <w:r>
              <w:rPr>
                <w:rFonts w:hint="default" w:ascii="Times New Roman" w:hAnsi="Times New Roman" w:cs="Times New Roman"/>
              </w:rPr>
              <w:t>微克/立方米，达到国家环境空气质量二级标准。</w:t>
            </w:r>
            <w:r>
              <w:rPr>
                <w:rFonts w:hint="default" w:ascii="Times New Roman" w:hAnsi="Times New Roman" w:cs="Times New Roman"/>
                <w:color w:val="auto"/>
                <w:spacing w:val="-6"/>
                <w:sz w:val="24"/>
                <w:lang w:val="en-US" w:eastAsia="zh-CN"/>
              </w:rPr>
              <w:t>因此该项目所在区域为不达标区</w:t>
            </w:r>
            <w:r>
              <w:rPr>
                <w:bCs/>
                <w:snapToGrid w:val="0"/>
                <w:kern w:val="0"/>
                <w:sz w:val="24"/>
              </w:rPr>
              <w:t>。</w:t>
            </w:r>
          </w:p>
          <w:p>
            <w:pPr>
              <w:snapToGrid w:val="0"/>
              <w:spacing w:line="480" w:lineRule="exact"/>
              <w:ind w:firstLine="482" w:firstLineChars="200"/>
              <w:rPr>
                <w:b/>
                <w:bCs/>
                <w:sz w:val="24"/>
              </w:rPr>
            </w:pPr>
            <w:r>
              <w:rPr>
                <w:b/>
                <w:bCs/>
                <w:sz w:val="24"/>
              </w:rPr>
              <w:t>2、地表水环境质量现状</w:t>
            </w:r>
          </w:p>
          <w:p>
            <w:pPr>
              <w:pStyle w:val="14"/>
              <w:spacing w:line="360" w:lineRule="auto"/>
              <w:ind w:left="0" w:firstLine="480" w:firstLineChars="200"/>
              <w:rPr>
                <w:sz w:val="24"/>
              </w:rPr>
            </w:pPr>
            <w:r>
              <w:rPr>
                <w:rFonts w:hint="eastAsia" w:ascii="Times New Roman" w:hAnsi="Times New Roman" w:cs="Times New Roman"/>
                <w:b w:val="0"/>
                <w:bCs/>
                <w:color w:val="auto"/>
                <w:sz w:val="24"/>
                <w:szCs w:val="24"/>
                <w:highlight w:val="none"/>
                <w:lang w:eastAsia="zh-CN"/>
              </w:rPr>
              <w:t>由于本项目的生活污水经隔油化粪池处理后用作农肥，不外排；且无生产废水外排，故不对地表水进行监测</w:t>
            </w:r>
            <w:r>
              <w:rPr>
                <w:sz w:val="24"/>
              </w:rPr>
              <w:t>。</w:t>
            </w:r>
          </w:p>
          <w:p>
            <w:pPr>
              <w:spacing w:line="360" w:lineRule="auto"/>
              <w:ind w:firstLine="482" w:firstLineChars="200"/>
              <w:outlineLvl w:val="2"/>
              <w:rPr>
                <w:b/>
                <w:sz w:val="24"/>
              </w:rPr>
            </w:pPr>
            <w:bookmarkStart w:id="29" w:name="_Toc503517581"/>
            <w:bookmarkStart w:id="30" w:name="_Toc503519192"/>
            <w:bookmarkStart w:id="31" w:name="_Toc514143747"/>
            <w:bookmarkStart w:id="32" w:name="_Toc270581236"/>
            <w:bookmarkStart w:id="33" w:name="_Toc274291679"/>
            <w:bookmarkStart w:id="34" w:name="_Toc457203513"/>
            <w:bookmarkStart w:id="35" w:name="_Toc274291815"/>
            <w:bookmarkStart w:id="36" w:name="_Toc503519224"/>
            <w:bookmarkStart w:id="37" w:name="_Toc230535087"/>
            <w:r>
              <w:rPr>
                <w:b/>
                <w:sz w:val="24"/>
              </w:rPr>
              <w:t>3、声环境质量现状调查</w:t>
            </w:r>
            <w:bookmarkEnd w:id="29"/>
            <w:bookmarkEnd w:id="30"/>
            <w:bookmarkEnd w:id="31"/>
            <w:bookmarkEnd w:id="32"/>
            <w:bookmarkEnd w:id="33"/>
            <w:bookmarkEnd w:id="34"/>
            <w:bookmarkEnd w:id="35"/>
            <w:bookmarkEnd w:id="36"/>
            <w:bookmarkEnd w:id="37"/>
          </w:p>
          <w:p>
            <w:pPr>
              <w:widowControl/>
              <w:spacing w:line="360" w:lineRule="auto"/>
              <w:ind w:firstLine="480" w:firstLineChars="200"/>
              <w:rPr>
                <w:sz w:val="24"/>
              </w:rPr>
            </w:pPr>
            <w:r>
              <w:rPr>
                <w:sz w:val="24"/>
              </w:rPr>
              <w:t>为了解本项目所在地声环境质量现状，根据项目噪声源和区域声环境特征相结合的原则，建设单位特委托</w:t>
            </w:r>
            <w:r>
              <w:rPr>
                <w:rFonts w:hint="eastAsia"/>
                <w:spacing w:val="-3"/>
                <w:sz w:val="24"/>
                <w:lang w:eastAsia="zh-CN"/>
              </w:rPr>
              <w:t>湖南中额环保科技有限公司</w:t>
            </w:r>
            <w:r>
              <w:rPr>
                <w:sz w:val="24"/>
              </w:rPr>
              <w:t>对项目所在地声环境质量现状进行监测。</w:t>
            </w:r>
          </w:p>
          <w:p>
            <w:pPr>
              <w:widowControl/>
              <w:spacing w:line="360" w:lineRule="auto"/>
              <w:ind w:firstLine="480" w:firstLineChars="200"/>
              <w:rPr>
                <w:sz w:val="24"/>
              </w:rPr>
            </w:pPr>
            <w:r>
              <w:rPr>
                <w:sz w:val="24"/>
              </w:rPr>
              <w:t>（1）声环境监测布点：在项目东、南、西、北四面场界外1m处共布设4个监测点；</w:t>
            </w:r>
          </w:p>
          <w:p>
            <w:pPr>
              <w:widowControl/>
              <w:spacing w:line="360" w:lineRule="auto"/>
              <w:ind w:firstLine="480" w:firstLineChars="200"/>
              <w:rPr>
                <w:sz w:val="24"/>
              </w:rPr>
            </w:pPr>
            <w:r>
              <w:rPr>
                <w:sz w:val="24"/>
              </w:rPr>
              <w:t>（2）监测项目：连续等效A声级；</w:t>
            </w:r>
          </w:p>
          <w:p>
            <w:pPr>
              <w:widowControl/>
              <w:spacing w:line="360" w:lineRule="auto"/>
              <w:ind w:firstLine="480" w:firstLineChars="200"/>
              <w:rPr>
                <w:sz w:val="24"/>
              </w:rPr>
            </w:pPr>
            <w:r>
              <w:rPr>
                <w:sz w:val="24"/>
              </w:rPr>
              <w:t>（3）监测时间及频次：20</w:t>
            </w:r>
            <w:r>
              <w:rPr>
                <w:rFonts w:hint="eastAsia"/>
                <w:sz w:val="24"/>
                <w:lang w:val="en-US" w:eastAsia="zh-CN"/>
              </w:rPr>
              <w:t>20</w:t>
            </w:r>
            <w:r>
              <w:rPr>
                <w:sz w:val="24"/>
              </w:rPr>
              <w:t>年</w:t>
            </w:r>
            <w:r>
              <w:rPr>
                <w:rFonts w:hint="eastAsia"/>
                <w:sz w:val="24"/>
                <w:lang w:val="en-US" w:eastAsia="zh-CN"/>
              </w:rPr>
              <w:t>9</w:t>
            </w:r>
            <w:r>
              <w:rPr>
                <w:sz w:val="24"/>
              </w:rPr>
              <w:t>月1</w:t>
            </w:r>
            <w:r>
              <w:rPr>
                <w:rFonts w:hint="eastAsia"/>
                <w:sz w:val="24"/>
                <w:lang w:val="en-US" w:eastAsia="zh-CN"/>
              </w:rPr>
              <w:t>8</w:t>
            </w:r>
            <w:r>
              <w:rPr>
                <w:sz w:val="24"/>
              </w:rPr>
              <w:t>日-</w:t>
            </w:r>
            <w:r>
              <w:rPr>
                <w:rFonts w:hint="eastAsia"/>
                <w:sz w:val="24"/>
                <w:lang w:val="en-US" w:eastAsia="zh-CN"/>
              </w:rPr>
              <w:t>9</w:t>
            </w:r>
            <w:r>
              <w:rPr>
                <w:sz w:val="24"/>
              </w:rPr>
              <w:t>月</w:t>
            </w:r>
            <w:r>
              <w:rPr>
                <w:rFonts w:hint="eastAsia"/>
                <w:sz w:val="24"/>
                <w:lang w:val="en-US" w:eastAsia="zh-CN"/>
              </w:rPr>
              <w:t>19</w:t>
            </w:r>
            <w:r>
              <w:rPr>
                <w:sz w:val="24"/>
              </w:rPr>
              <w:t>日，对各个噪声监测点进行昼间和夜间监测。</w:t>
            </w:r>
          </w:p>
          <w:p>
            <w:pPr>
              <w:widowControl/>
              <w:spacing w:line="360" w:lineRule="auto"/>
              <w:ind w:firstLine="480" w:firstLineChars="200"/>
              <w:rPr>
                <w:sz w:val="24"/>
              </w:rPr>
            </w:pPr>
            <w:r>
              <w:rPr>
                <w:sz w:val="24"/>
              </w:rPr>
              <w:t>（4）监测结果：噪声现状监测统计与评价结果详见下表，监测点位选取详见附图3，监测数据及结果详如下表所示。</w:t>
            </w:r>
          </w:p>
          <w:p>
            <w:pPr>
              <w:jc w:val="center"/>
              <w:rPr>
                <w:b/>
                <w:kern w:val="0"/>
                <w:szCs w:val="21"/>
              </w:rPr>
            </w:pPr>
            <w:r>
              <w:rPr>
                <w:b/>
                <w:kern w:val="0"/>
                <w:szCs w:val="21"/>
              </w:rPr>
              <w:t>表3-</w:t>
            </w:r>
            <w:r>
              <w:rPr>
                <w:rFonts w:hint="eastAsia"/>
                <w:b/>
                <w:kern w:val="0"/>
                <w:szCs w:val="21"/>
                <w:lang w:val="en-US" w:eastAsia="zh-CN"/>
              </w:rPr>
              <w:t>2</w:t>
            </w:r>
            <w:r>
              <w:rPr>
                <w:b/>
                <w:kern w:val="0"/>
                <w:szCs w:val="21"/>
              </w:rPr>
              <w:t xml:space="preserve">  项目噪声基本情况表单位：Leq（A）dB</w:t>
            </w:r>
          </w:p>
          <w:tbl>
            <w:tblPr>
              <w:tblStyle w:val="38"/>
              <w:tblW w:w="91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01"/>
              <w:gridCol w:w="1878"/>
              <w:gridCol w:w="1977"/>
              <w:gridCol w:w="1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blHeader/>
                <w:jc w:val="center"/>
              </w:trPr>
              <w:tc>
                <w:tcPr>
                  <w:tcW w:w="3301" w:type="dxa"/>
                  <w:vMerge w:val="restart"/>
                  <w:vAlign w:val="center"/>
                </w:tcPr>
                <w:p>
                  <w:pPr>
                    <w:spacing w:line="240" w:lineRule="auto"/>
                    <w:jc w:val="center"/>
                    <w:rPr>
                      <w:rFonts w:hint="default" w:ascii="Times New Roman" w:hAnsi="Times New Roman" w:cs="Times New Roman"/>
                      <w:b/>
                      <w:bCs/>
                      <w:color w:val="auto"/>
                      <w:sz w:val="21"/>
                      <w:szCs w:val="21"/>
                      <w:highlight w:val="yellow"/>
                    </w:rPr>
                  </w:pPr>
                  <w:r>
                    <w:rPr>
                      <w:rFonts w:hint="default" w:ascii="Times New Roman" w:hAnsi="Times New Roman" w:cs="Times New Roman"/>
                      <w:b/>
                      <w:bCs/>
                      <w:color w:val="auto"/>
                      <w:sz w:val="21"/>
                      <w:szCs w:val="21"/>
                      <w:highlight w:val="none"/>
                    </w:rPr>
                    <w:t>采样点位</w:t>
                  </w:r>
                </w:p>
              </w:tc>
              <w:tc>
                <w:tcPr>
                  <w:tcW w:w="1878" w:type="dxa"/>
                  <w:vMerge w:val="restart"/>
                  <w:vAlign w:val="center"/>
                </w:tcPr>
                <w:p>
                  <w:pPr>
                    <w:spacing w:line="240" w:lineRule="auto"/>
                    <w:jc w:val="center"/>
                    <w:rPr>
                      <w:rFonts w:hint="default" w:ascii="Times New Roman" w:hAnsi="Times New Roman" w:cs="Times New Roman"/>
                      <w:b/>
                      <w:bCs/>
                      <w:color w:val="auto"/>
                      <w:sz w:val="21"/>
                      <w:szCs w:val="21"/>
                      <w:highlight w:val="yellow"/>
                    </w:rPr>
                  </w:pPr>
                  <w:r>
                    <w:rPr>
                      <w:rFonts w:hint="default" w:ascii="Times New Roman" w:hAnsi="Times New Roman" w:cs="Times New Roman"/>
                      <w:b/>
                      <w:bCs/>
                      <w:color w:val="auto"/>
                      <w:sz w:val="21"/>
                      <w:szCs w:val="21"/>
                      <w:highlight w:val="none"/>
                    </w:rPr>
                    <w:t>采样日期</w:t>
                  </w:r>
                </w:p>
              </w:tc>
              <w:tc>
                <w:tcPr>
                  <w:tcW w:w="3955" w:type="dxa"/>
                  <w:gridSpan w:val="2"/>
                  <w:vAlign w:val="center"/>
                </w:tcPr>
                <w:p>
                  <w:pPr>
                    <w:spacing w:line="240" w:lineRule="auto"/>
                    <w:jc w:val="center"/>
                    <w:rPr>
                      <w:rFonts w:hint="default" w:ascii="Times New Roman" w:hAnsi="Times New Roman" w:cs="Times New Roman"/>
                      <w:b/>
                      <w:bCs/>
                      <w:color w:val="auto"/>
                      <w:sz w:val="21"/>
                      <w:szCs w:val="21"/>
                      <w:highlight w:val="yellow"/>
                    </w:rPr>
                  </w:pPr>
                  <w:r>
                    <w:rPr>
                      <w:rFonts w:hint="default" w:ascii="Times New Roman" w:hAnsi="Times New Roman" w:cs="Times New Roman"/>
                      <w:b/>
                      <w:bCs/>
                      <w:color w:val="auto"/>
                      <w:sz w:val="21"/>
                      <w:szCs w:val="21"/>
                      <w:highlight w:val="none"/>
                    </w:rPr>
                    <w:t>检测结果Leq A（dB）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blHeader/>
                <w:jc w:val="center"/>
              </w:trPr>
              <w:tc>
                <w:tcPr>
                  <w:tcW w:w="3301" w:type="dxa"/>
                  <w:vMerge w:val="continue"/>
                  <w:vAlign w:val="center"/>
                </w:tcPr>
                <w:p>
                  <w:pPr>
                    <w:spacing w:line="240" w:lineRule="auto"/>
                    <w:jc w:val="center"/>
                    <w:rPr>
                      <w:rFonts w:hint="default" w:ascii="Times New Roman" w:hAnsi="Times New Roman" w:cs="Times New Roman"/>
                      <w:b/>
                      <w:bCs/>
                      <w:color w:val="auto"/>
                      <w:sz w:val="21"/>
                      <w:szCs w:val="21"/>
                      <w:highlight w:val="yellow"/>
                    </w:rPr>
                  </w:pPr>
                </w:p>
              </w:tc>
              <w:tc>
                <w:tcPr>
                  <w:tcW w:w="1878" w:type="dxa"/>
                  <w:vMerge w:val="continue"/>
                  <w:vAlign w:val="center"/>
                </w:tcPr>
                <w:p>
                  <w:pPr>
                    <w:spacing w:line="240" w:lineRule="auto"/>
                    <w:jc w:val="center"/>
                    <w:rPr>
                      <w:rFonts w:hint="default" w:ascii="Times New Roman" w:hAnsi="Times New Roman" w:cs="Times New Roman"/>
                      <w:b/>
                      <w:bCs/>
                      <w:color w:val="auto"/>
                      <w:sz w:val="21"/>
                      <w:szCs w:val="21"/>
                      <w:highlight w:val="yellow"/>
                    </w:rPr>
                  </w:pPr>
                </w:p>
              </w:tc>
              <w:tc>
                <w:tcPr>
                  <w:tcW w:w="1977" w:type="dxa"/>
                  <w:vAlign w:val="center"/>
                </w:tcPr>
                <w:p>
                  <w:pPr>
                    <w:spacing w:line="240" w:lineRule="auto"/>
                    <w:jc w:val="center"/>
                    <w:rPr>
                      <w:rFonts w:hint="default" w:ascii="Times New Roman" w:hAnsi="Times New Roman" w:cs="Times New Roman"/>
                      <w:b/>
                      <w:bCs/>
                      <w:color w:val="auto"/>
                      <w:sz w:val="21"/>
                      <w:szCs w:val="21"/>
                      <w:highlight w:val="yellow"/>
                    </w:rPr>
                  </w:pPr>
                  <w:r>
                    <w:rPr>
                      <w:rFonts w:hint="default" w:ascii="Times New Roman" w:hAnsi="Times New Roman" w:cs="Times New Roman"/>
                      <w:b/>
                      <w:bCs/>
                      <w:color w:val="auto"/>
                      <w:sz w:val="21"/>
                      <w:szCs w:val="21"/>
                      <w:highlight w:val="none"/>
                    </w:rPr>
                    <w:t>昼间</w:t>
                  </w:r>
                </w:p>
              </w:tc>
              <w:tc>
                <w:tcPr>
                  <w:tcW w:w="1978" w:type="dxa"/>
                  <w:vAlign w:val="center"/>
                </w:tcPr>
                <w:p>
                  <w:pPr>
                    <w:spacing w:line="240" w:lineRule="auto"/>
                    <w:jc w:val="center"/>
                    <w:rPr>
                      <w:rFonts w:hint="default" w:ascii="Times New Roman" w:hAnsi="Times New Roman" w:cs="Times New Roman"/>
                      <w:b/>
                      <w:bCs/>
                      <w:color w:val="auto"/>
                      <w:sz w:val="21"/>
                      <w:szCs w:val="21"/>
                      <w:highlight w:val="yellow"/>
                    </w:rPr>
                  </w:pPr>
                  <w:r>
                    <w:rPr>
                      <w:rFonts w:hint="default" w:ascii="Times New Roman" w:hAnsi="Times New Roman" w:cs="Times New Roman"/>
                      <w:b/>
                      <w:bCs/>
                      <w:color w:val="auto"/>
                      <w:sz w:val="21"/>
                      <w:szCs w:val="21"/>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301" w:type="dxa"/>
                  <w:vMerge w:val="restart"/>
                  <w:vAlign w:val="center"/>
                </w:tcPr>
                <w:p>
                  <w:pPr>
                    <w:spacing w:line="240" w:lineRule="auto"/>
                    <w:jc w:val="center"/>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rPr>
                    <w:t>N</w:t>
                  </w:r>
                  <w:r>
                    <w:rPr>
                      <w:rFonts w:hint="eastAsia" w:cs="Times New Roman"/>
                      <w:color w:val="auto"/>
                      <w:sz w:val="21"/>
                      <w:szCs w:val="21"/>
                      <w:highlight w:val="none"/>
                      <w:vertAlign w:val="subscript"/>
                      <w:lang w:val="en-US" w:eastAsia="zh-CN"/>
                    </w:rPr>
                    <w:t>1</w:t>
                  </w:r>
                  <w:r>
                    <w:rPr>
                      <w:rFonts w:hint="default" w:ascii="Times New Roman" w:hAnsi="Times New Roman" w:cs="Times New Roman"/>
                      <w:color w:val="auto"/>
                      <w:sz w:val="21"/>
                      <w:szCs w:val="21"/>
                      <w:highlight w:val="none"/>
                      <w:lang w:eastAsia="zh-CN"/>
                    </w:rPr>
                    <w:t>厂</w:t>
                  </w:r>
                  <w:r>
                    <w:rPr>
                      <w:rFonts w:hint="default" w:ascii="Times New Roman" w:hAnsi="Times New Roman" w:cs="Times New Roman"/>
                      <w:color w:val="auto"/>
                      <w:sz w:val="21"/>
                      <w:szCs w:val="21"/>
                      <w:highlight w:val="none"/>
                    </w:rPr>
                    <w:t>界</w:t>
                  </w:r>
                  <w:r>
                    <w:rPr>
                      <w:rFonts w:hint="default" w:ascii="Times New Roman" w:hAnsi="Times New Roman" w:cs="Times New Roman"/>
                      <w:color w:val="auto"/>
                      <w:sz w:val="21"/>
                      <w:szCs w:val="21"/>
                      <w:highlight w:val="none"/>
                      <w:lang w:eastAsia="zh-CN"/>
                    </w:rPr>
                    <w:t>东</w:t>
                  </w:r>
                  <w:r>
                    <w:rPr>
                      <w:rFonts w:hint="default" w:ascii="Times New Roman" w:hAnsi="Times New Roman" w:cs="Times New Roman"/>
                      <w:color w:val="auto"/>
                      <w:sz w:val="21"/>
                      <w:szCs w:val="21"/>
                      <w:highlight w:val="none"/>
                    </w:rPr>
                    <w:t>侧1m处</w:t>
                  </w:r>
                </w:p>
              </w:tc>
              <w:tc>
                <w:tcPr>
                  <w:tcW w:w="1878" w:type="dxa"/>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lang w:val="en-US"/>
                    </w:rPr>
                  </w:pP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9.18</w:t>
                  </w:r>
                </w:p>
              </w:tc>
              <w:tc>
                <w:tcPr>
                  <w:tcW w:w="1977" w:type="dxa"/>
                  <w:vAlign w:val="center"/>
                </w:tcPr>
                <w:p>
                  <w:pPr>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51</w:t>
                  </w:r>
                </w:p>
              </w:tc>
              <w:tc>
                <w:tcPr>
                  <w:tcW w:w="1978" w:type="dxa"/>
                  <w:vAlign w:val="center"/>
                </w:tcPr>
                <w:p>
                  <w:pPr>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301" w:type="dxa"/>
                  <w:vMerge w:val="continue"/>
                  <w:vAlign w:val="center"/>
                </w:tcPr>
                <w:p>
                  <w:pPr>
                    <w:pStyle w:val="75"/>
                    <w:snapToGrid w:val="0"/>
                    <w:spacing w:line="240" w:lineRule="auto"/>
                    <w:rPr>
                      <w:rFonts w:hint="default" w:ascii="Times New Roman" w:hAnsi="Times New Roman" w:cs="Times New Roman"/>
                      <w:color w:val="auto"/>
                      <w:sz w:val="21"/>
                      <w:szCs w:val="21"/>
                      <w:highlight w:val="yellow"/>
                    </w:rPr>
                  </w:pPr>
                </w:p>
              </w:tc>
              <w:tc>
                <w:tcPr>
                  <w:tcW w:w="1878" w:type="dxa"/>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lang w:val="en-US"/>
                    </w:rPr>
                  </w:pP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9.19</w:t>
                  </w:r>
                </w:p>
              </w:tc>
              <w:tc>
                <w:tcPr>
                  <w:tcW w:w="1977" w:type="dxa"/>
                  <w:vAlign w:val="center"/>
                </w:tcPr>
                <w:p>
                  <w:pPr>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1</w:t>
                  </w:r>
                </w:p>
              </w:tc>
              <w:tc>
                <w:tcPr>
                  <w:tcW w:w="1978" w:type="dxa"/>
                  <w:vAlign w:val="center"/>
                </w:tcPr>
                <w:p>
                  <w:pPr>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301" w:type="dxa"/>
                  <w:vMerge w:val="restart"/>
                  <w:vAlign w:val="center"/>
                </w:tcPr>
                <w:p>
                  <w:pPr>
                    <w:spacing w:line="240" w:lineRule="auto"/>
                    <w:jc w:val="center"/>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rPr>
                    <w:t>N</w:t>
                  </w:r>
                  <w:r>
                    <w:rPr>
                      <w:rFonts w:hint="eastAsia" w:cs="Times New Roman"/>
                      <w:color w:val="auto"/>
                      <w:sz w:val="21"/>
                      <w:szCs w:val="21"/>
                      <w:highlight w:val="none"/>
                      <w:vertAlign w:val="subscript"/>
                      <w:lang w:val="en-US" w:eastAsia="zh-CN"/>
                    </w:rPr>
                    <w:t>2</w:t>
                  </w:r>
                  <w:r>
                    <w:rPr>
                      <w:rFonts w:hint="default" w:ascii="Times New Roman" w:hAnsi="Times New Roman" w:cs="Times New Roman"/>
                      <w:color w:val="auto"/>
                      <w:sz w:val="21"/>
                      <w:szCs w:val="21"/>
                      <w:highlight w:val="none"/>
                      <w:lang w:eastAsia="zh-CN"/>
                    </w:rPr>
                    <w:t>厂</w:t>
                  </w:r>
                  <w:r>
                    <w:rPr>
                      <w:rFonts w:hint="default" w:ascii="Times New Roman" w:hAnsi="Times New Roman" w:cs="Times New Roman"/>
                      <w:color w:val="auto"/>
                      <w:sz w:val="21"/>
                      <w:szCs w:val="21"/>
                      <w:highlight w:val="none"/>
                    </w:rPr>
                    <w:t>界</w:t>
                  </w:r>
                  <w:r>
                    <w:rPr>
                      <w:rFonts w:hint="default" w:ascii="Times New Roman" w:hAnsi="Times New Roman" w:cs="Times New Roman"/>
                      <w:color w:val="auto"/>
                      <w:sz w:val="21"/>
                      <w:szCs w:val="21"/>
                      <w:highlight w:val="none"/>
                      <w:lang w:eastAsia="zh-CN"/>
                    </w:rPr>
                    <w:t>南</w:t>
                  </w:r>
                  <w:r>
                    <w:rPr>
                      <w:rFonts w:hint="default" w:ascii="Times New Roman" w:hAnsi="Times New Roman" w:cs="Times New Roman"/>
                      <w:color w:val="auto"/>
                      <w:sz w:val="21"/>
                      <w:szCs w:val="21"/>
                      <w:highlight w:val="none"/>
                    </w:rPr>
                    <w:t>侧1m处</w:t>
                  </w:r>
                </w:p>
              </w:tc>
              <w:tc>
                <w:tcPr>
                  <w:tcW w:w="1878" w:type="dxa"/>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rPr>
                  </w:pP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9.18</w:t>
                  </w:r>
                </w:p>
              </w:tc>
              <w:tc>
                <w:tcPr>
                  <w:tcW w:w="1977" w:type="dxa"/>
                  <w:vAlign w:val="center"/>
                </w:tcPr>
                <w:p>
                  <w:pPr>
                    <w:spacing w:line="240" w:lineRule="auto"/>
                    <w:jc w:val="center"/>
                    <w:textAlignment w:val="bottom"/>
                    <w:rPr>
                      <w:rFonts w:hint="default" w:ascii="Times New Roman" w:hAnsi="Times New Roman" w:eastAsia="宋体" w:cs="Times New Roman"/>
                      <w:color w:val="auto"/>
                      <w:sz w:val="21"/>
                      <w:szCs w:val="21"/>
                      <w:highlight w:val="yellow"/>
                      <w:lang w:eastAsia="zh-CN"/>
                    </w:rPr>
                  </w:pPr>
                  <w:r>
                    <w:rPr>
                      <w:rFonts w:hint="default" w:ascii="Times New Roman" w:hAnsi="Times New Roman" w:cs="Times New Roman"/>
                      <w:color w:val="auto"/>
                      <w:sz w:val="21"/>
                      <w:szCs w:val="21"/>
                      <w:highlight w:val="none"/>
                      <w:lang w:val="en-US" w:eastAsia="zh-CN"/>
                    </w:rPr>
                    <w:t>52</w:t>
                  </w:r>
                </w:p>
              </w:tc>
              <w:tc>
                <w:tcPr>
                  <w:tcW w:w="1978" w:type="dxa"/>
                  <w:vAlign w:val="center"/>
                </w:tcPr>
                <w:p>
                  <w:pPr>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301" w:type="dxa"/>
                  <w:vMerge w:val="continue"/>
                  <w:vAlign w:val="center"/>
                </w:tcPr>
                <w:p>
                  <w:pPr>
                    <w:spacing w:line="240" w:lineRule="auto"/>
                    <w:jc w:val="center"/>
                    <w:rPr>
                      <w:rFonts w:hint="default" w:ascii="Times New Roman" w:hAnsi="Times New Roman" w:cs="Times New Roman"/>
                      <w:color w:val="auto"/>
                      <w:sz w:val="21"/>
                      <w:szCs w:val="21"/>
                      <w:highlight w:val="yellow"/>
                    </w:rPr>
                  </w:pPr>
                </w:p>
              </w:tc>
              <w:tc>
                <w:tcPr>
                  <w:tcW w:w="1878" w:type="dxa"/>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rPr>
                  </w:pP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9.19</w:t>
                  </w:r>
                </w:p>
              </w:tc>
              <w:tc>
                <w:tcPr>
                  <w:tcW w:w="1977" w:type="dxa"/>
                  <w:vAlign w:val="center"/>
                </w:tcPr>
                <w:p>
                  <w:pPr>
                    <w:spacing w:line="240" w:lineRule="auto"/>
                    <w:jc w:val="center"/>
                    <w:textAlignment w:val="center"/>
                    <w:rPr>
                      <w:rFonts w:hint="default" w:ascii="Times New Roman" w:hAnsi="Times New Roman" w:cs="Times New Roman"/>
                      <w:color w:val="auto"/>
                      <w:sz w:val="21"/>
                      <w:szCs w:val="21"/>
                      <w:highlight w:val="yellow"/>
                      <w:lang w:val="en-US"/>
                    </w:rPr>
                  </w:pPr>
                  <w:r>
                    <w:rPr>
                      <w:rFonts w:hint="eastAsia" w:ascii="Times New Roman" w:hAnsi="Times New Roman" w:cs="Times New Roman"/>
                      <w:color w:val="auto"/>
                      <w:sz w:val="21"/>
                      <w:szCs w:val="21"/>
                      <w:highlight w:val="none"/>
                      <w:lang w:val="en-US" w:eastAsia="zh-CN"/>
                    </w:rPr>
                    <w:t>53</w:t>
                  </w:r>
                </w:p>
              </w:tc>
              <w:tc>
                <w:tcPr>
                  <w:tcW w:w="1978" w:type="dxa"/>
                  <w:vAlign w:val="center"/>
                </w:tcPr>
                <w:p>
                  <w:pPr>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3301" w:type="dxa"/>
                  <w:vMerge w:val="restart"/>
                  <w:vAlign w:val="center"/>
                </w:tcPr>
                <w:p>
                  <w:pPr>
                    <w:spacing w:line="240" w:lineRule="auto"/>
                    <w:jc w:val="center"/>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rPr>
                    <w:t>N</w:t>
                  </w:r>
                  <w:r>
                    <w:rPr>
                      <w:rFonts w:hint="eastAsia" w:cs="Times New Roman"/>
                      <w:color w:val="auto"/>
                      <w:sz w:val="21"/>
                      <w:szCs w:val="21"/>
                      <w:highlight w:val="none"/>
                      <w:vertAlign w:val="subscript"/>
                      <w:lang w:val="en-US" w:eastAsia="zh-CN"/>
                    </w:rPr>
                    <w:t>3</w:t>
                  </w:r>
                  <w:r>
                    <w:rPr>
                      <w:rFonts w:hint="default" w:ascii="Times New Roman" w:hAnsi="Times New Roman" w:cs="Times New Roman"/>
                      <w:color w:val="auto"/>
                      <w:sz w:val="21"/>
                      <w:szCs w:val="21"/>
                      <w:highlight w:val="none"/>
                      <w:lang w:eastAsia="zh-CN"/>
                    </w:rPr>
                    <w:t>厂</w:t>
                  </w:r>
                  <w:r>
                    <w:rPr>
                      <w:rFonts w:hint="default" w:ascii="Times New Roman" w:hAnsi="Times New Roman" w:cs="Times New Roman"/>
                      <w:color w:val="auto"/>
                      <w:sz w:val="21"/>
                      <w:szCs w:val="21"/>
                      <w:highlight w:val="none"/>
                    </w:rPr>
                    <w:t>界</w:t>
                  </w:r>
                  <w:r>
                    <w:rPr>
                      <w:rFonts w:hint="default" w:ascii="Times New Roman" w:hAnsi="Times New Roman" w:cs="Times New Roman"/>
                      <w:color w:val="auto"/>
                      <w:sz w:val="21"/>
                      <w:szCs w:val="21"/>
                      <w:highlight w:val="none"/>
                      <w:lang w:eastAsia="zh-CN"/>
                    </w:rPr>
                    <w:t>西</w:t>
                  </w:r>
                  <w:r>
                    <w:rPr>
                      <w:rFonts w:hint="default" w:ascii="Times New Roman" w:hAnsi="Times New Roman" w:cs="Times New Roman"/>
                      <w:color w:val="auto"/>
                      <w:sz w:val="21"/>
                      <w:szCs w:val="21"/>
                      <w:highlight w:val="none"/>
                    </w:rPr>
                    <w:t>侧1m处</w:t>
                  </w:r>
                </w:p>
              </w:tc>
              <w:tc>
                <w:tcPr>
                  <w:tcW w:w="1878" w:type="dxa"/>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rPr>
                  </w:pP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9.18</w:t>
                  </w:r>
                </w:p>
              </w:tc>
              <w:tc>
                <w:tcPr>
                  <w:tcW w:w="1977" w:type="dxa"/>
                  <w:vAlign w:val="center"/>
                </w:tcPr>
                <w:p>
                  <w:pPr>
                    <w:spacing w:line="240" w:lineRule="auto"/>
                    <w:jc w:val="center"/>
                    <w:textAlignment w:val="bottom"/>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7</w:t>
                  </w:r>
                </w:p>
              </w:tc>
              <w:tc>
                <w:tcPr>
                  <w:tcW w:w="1978" w:type="dxa"/>
                  <w:vAlign w:val="center"/>
                </w:tcPr>
                <w:p>
                  <w:pPr>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301" w:type="dxa"/>
                  <w:vMerge w:val="continue"/>
                  <w:vAlign w:val="center"/>
                </w:tcPr>
                <w:p>
                  <w:pPr>
                    <w:spacing w:line="240" w:lineRule="auto"/>
                    <w:jc w:val="center"/>
                    <w:rPr>
                      <w:rFonts w:hint="default" w:ascii="Times New Roman" w:hAnsi="Times New Roman" w:cs="Times New Roman"/>
                      <w:color w:val="auto"/>
                      <w:sz w:val="21"/>
                      <w:szCs w:val="21"/>
                      <w:highlight w:val="yellow"/>
                    </w:rPr>
                  </w:pPr>
                </w:p>
              </w:tc>
              <w:tc>
                <w:tcPr>
                  <w:tcW w:w="1878" w:type="dxa"/>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rPr>
                  </w:pP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9.19</w:t>
                  </w:r>
                </w:p>
              </w:tc>
              <w:tc>
                <w:tcPr>
                  <w:tcW w:w="1977" w:type="dxa"/>
                  <w:vAlign w:val="center"/>
                </w:tcPr>
                <w:p>
                  <w:pPr>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7</w:t>
                  </w:r>
                </w:p>
              </w:tc>
              <w:tc>
                <w:tcPr>
                  <w:tcW w:w="1978" w:type="dxa"/>
                  <w:vAlign w:val="center"/>
                </w:tcPr>
                <w:p>
                  <w:pPr>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301" w:type="dxa"/>
                  <w:vMerge w:val="restart"/>
                  <w:vAlign w:val="center"/>
                </w:tcPr>
                <w:p>
                  <w:pPr>
                    <w:spacing w:line="240" w:lineRule="auto"/>
                    <w:jc w:val="center"/>
                    <w:rPr>
                      <w:rFonts w:hint="default" w:ascii="Times New Roman" w:hAnsi="Times New Roman" w:cs="Times New Roman"/>
                      <w:bCs/>
                      <w:color w:val="auto"/>
                      <w:sz w:val="21"/>
                      <w:szCs w:val="21"/>
                      <w:highlight w:val="yellow"/>
                    </w:rPr>
                  </w:pPr>
                  <w:r>
                    <w:rPr>
                      <w:rFonts w:hint="default" w:ascii="Times New Roman" w:hAnsi="Times New Roman" w:cs="Times New Roman"/>
                      <w:color w:val="auto"/>
                      <w:sz w:val="21"/>
                      <w:szCs w:val="21"/>
                      <w:highlight w:val="none"/>
                    </w:rPr>
                    <w:t>N</w:t>
                  </w:r>
                  <w:r>
                    <w:rPr>
                      <w:rFonts w:hint="default" w:ascii="Times New Roman" w:hAnsi="Times New Roman" w:cs="Times New Roman"/>
                      <w:color w:val="auto"/>
                      <w:sz w:val="21"/>
                      <w:szCs w:val="21"/>
                      <w:highlight w:val="none"/>
                      <w:vertAlign w:val="subscript"/>
                    </w:rPr>
                    <w:t>4</w:t>
                  </w:r>
                  <w:r>
                    <w:rPr>
                      <w:rFonts w:hint="default" w:ascii="Times New Roman" w:hAnsi="Times New Roman" w:cs="Times New Roman"/>
                      <w:color w:val="auto"/>
                      <w:sz w:val="21"/>
                      <w:szCs w:val="21"/>
                      <w:highlight w:val="none"/>
                      <w:lang w:eastAsia="zh-CN"/>
                    </w:rPr>
                    <w:t>厂</w:t>
                  </w:r>
                  <w:r>
                    <w:rPr>
                      <w:rFonts w:hint="default" w:ascii="Times New Roman" w:hAnsi="Times New Roman" w:cs="Times New Roman"/>
                      <w:color w:val="auto"/>
                      <w:sz w:val="21"/>
                      <w:szCs w:val="21"/>
                      <w:highlight w:val="none"/>
                    </w:rPr>
                    <w:t>界</w:t>
                  </w:r>
                  <w:r>
                    <w:rPr>
                      <w:rFonts w:hint="eastAsia" w:cs="Times New Roman"/>
                      <w:color w:val="auto"/>
                      <w:sz w:val="21"/>
                      <w:szCs w:val="21"/>
                      <w:highlight w:val="none"/>
                      <w:lang w:eastAsia="zh-CN"/>
                    </w:rPr>
                    <w:t>北</w:t>
                  </w:r>
                  <w:r>
                    <w:rPr>
                      <w:rFonts w:hint="default" w:ascii="Times New Roman" w:hAnsi="Times New Roman" w:cs="Times New Roman"/>
                      <w:color w:val="auto"/>
                      <w:sz w:val="21"/>
                      <w:szCs w:val="21"/>
                      <w:highlight w:val="none"/>
                    </w:rPr>
                    <w:t>侧1m处</w:t>
                  </w:r>
                </w:p>
              </w:tc>
              <w:tc>
                <w:tcPr>
                  <w:tcW w:w="1878" w:type="dxa"/>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rPr>
                  </w:pP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9.18</w:t>
                  </w:r>
                </w:p>
              </w:tc>
              <w:tc>
                <w:tcPr>
                  <w:tcW w:w="1977" w:type="dxa"/>
                  <w:vAlign w:val="center"/>
                </w:tcPr>
                <w:p>
                  <w:pPr>
                    <w:spacing w:line="240" w:lineRule="auto"/>
                    <w:jc w:val="center"/>
                    <w:textAlignment w:val="bottom"/>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53</w:t>
                  </w:r>
                </w:p>
              </w:tc>
              <w:tc>
                <w:tcPr>
                  <w:tcW w:w="1978" w:type="dxa"/>
                  <w:vAlign w:val="center"/>
                </w:tcPr>
                <w:p>
                  <w:pPr>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3301" w:type="dxa"/>
                  <w:vMerge w:val="continue"/>
                  <w:vAlign w:val="center"/>
                </w:tcPr>
                <w:p>
                  <w:pPr>
                    <w:spacing w:line="240" w:lineRule="auto"/>
                    <w:rPr>
                      <w:rFonts w:hint="default" w:ascii="Times New Roman" w:hAnsi="Times New Roman" w:cs="Times New Roman"/>
                      <w:color w:val="auto"/>
                      <w:sz w:val="21"/>
                      <w:szCs w:val="21"/>
                      <w:highlight w:val="yellow"/>
                    </w:rPr>
                  </w:pPr>
                </w:p>
              </w:tc>
              <w:tc>
                <w:tcPr>
                  <w:tcW w:w="1878" w:type="dxa"/>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rPr>
                  </w:pP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9.19</w:t>
                  </w:r>
                </w:p>
              </w:tc>
              <w:tc>
                <w:tcPr>
                  <w:tcW w:w="1977" w:type="dxa"/>
                  <w:vAlign w:val="center"/>
                </w:tcPr>
                <w:p>
                  <w:pPr>
                    <w:spacing w:line="240" w:lineRule="auto"/>
                    <w:jc w:val="center"/>
                    <w:textAlignment w:val="bottom"/>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3</w:t>
                  </w:r>
                </w:p>
              </w:tc>
              <w:tc>
                <w:tcPr>
                  <w:tcW w:w="1978" w:type="dxa"/>
                  <w:vAlign w:val="center"/>
                </w:tcPr>
                <w:p>
                  <w:pPr>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179" w:type="dxa"/>
                  <w:gridSpan w:val="2"/>
                  <w:vAlign w:val="center"/>
                </w:tcPr>
                <w:p>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（GB3096-2008）中的</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类标准</w:t>
                  </w:r>
                </w:p>
              </w:tc>
              <w:tc>
                <w:tcPr>
                  <w:tcW w:w="1977" w:type="dxa"/>
                  <w:vAlign w:val="center"/>
                </w:tcPr>
                <w:p>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昼≤</w:t>
                  </w:r>
                  <w:r>
                    <w:rPr>
                      <w:rFonts w:hint="default" w:ascii="Times New Roman" w:hAnsi="Times New Roman" w:cs="Times New Roman"/>
                      <w:color w:val="auto"/>
                      <w:kern w:val="0"/>
                      <w:sz w:val="21"/>
                      <w:szCs w:val="21"/>
                      <w:lang w:val="en-US" w:eastAsia="zh-CN"/>
                    </w:rPr>
                    <w:t>6</w:t>
                  </w:r>
                  <w:r>
                    <w:rPr>
                      <w:rFonts w:hint="eastAsia" w:ascii="Times New Roman" w:hAnsi="Times New Roman" w:cs="Times New Roman"/>
                      <w:color w:val="auto"/>
                      <w:kern w:val="0"/>
                      <w:sz w:val="21"/>
                      <w:szCs w:val="21"/>
                      <w:lang w:val="en-US" w:eastAsia="zh-CN"/>
                    </w:rPr>
                    <w:t>0</w:t>
                  </w:r>
                  <w:r>
                    <w:rPr>
                      <w:rFonts w:hint="default" w:ascii="Times New Roman" w:hAnsi="Times New Roman" w:cs="Times New Roman"/>
                      <w:color w:val="auto"/>
                      <w:kern w:val="0"/>
                      <w:sz w:val="21"/>
                      <w:szCs w:val="21"/>
                    </w:rPr>
                    <w:t>dB</w:t>
                  </w:r>
                </w:p>
              </w:tc>
              <w:tc>
                <w:tcPr>
                  <w:tcW w:w="1978" w:type="dxa"/>
                  <w:vAlign w:val="center"/>
                </w:tcPr>
                <w:p>
                  <w:pPr>
                    <w:spacing w:line="240" w:lineRule="auto"/>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lang w:eastAsia="zh-CN"/>
                    </w:rPr>
                    <w:t>夜</w:t>
                  </w:r>
                  <w:r>
                    <w:rPr>
                      <w:rFonts w:hint="default" w:ascii="Times New Roman" w:hAnsi="Times New Roman" w:cs="Times New Roman"/>
                      <w:color w:val="auto"/>
                      <w:kern w:val="0"/>
                      <w:sz w:val="21"/>
                      <w:szCs w:val="21"/>
                    </w:rPr>
                    <w:t>≤5</w:t>
                  </w:r>
                  <w:r>
                    <w:rPr>
                      <w:rFonts w:hint="eastAsia" w:ascii="Times New Roman" w:hAnsi="Times New Roman" w:cs="Times New Roman"/>
                      <w:color w:val="auto"/>
                      <w:kern w:val="0"/>
                      <w:sz w:val="21"/>
                      <w:szCs w:val="21"/>
                      <w:lang w:val="en-US" w:eastAsia="zh-CN"/>
                    </w:rPr>
                    <w:t>0</w:t>
                  </w:r>
                  <w:r>
                    <w:rPr>
                      <w:rFonts w:hint="default" w:ascii="Times New Roman" w:hAnsi="Times New Roman" w:cs="Times New Roman"/>
                      <w:color w:val="auto"/>
                      <w:kern w:val="0"/>
                      <w:sz w:val="21"/>
                      <w:szCs w:val="21"/>
                    </w:rPr>
                    <w:t>dB</w:t>
                  </w:r>
                </w:p>
              </w:tc>
            </w:tr>
          </w:tbl>
          <w:p>
            <w:pPr>
              <w:pStyle w:val="36"/>
              <w:wordWrap/>
              <w:spacing w:beforeLines="0" w:line="480" w:lineRule="exact"/>
              <w:ind w:left="0" w:leftChars="0" w:right="0" w:firstLine="480" w:firstLineChars="200"/>
              <w:textAlignment w:val="auto"/>
              <w:outlineLvl w:val="9"/>
              <w:rPr>
                <w:sz w:val="24"/>
              </w:rPr>
            </w:pPr>
            <w:r>
              <w:rPr>
                <w:sz w:val="24"/>
              </w:rPr>
              <w:t>监测结果表明：项目所在区域厂界四周的环境噪声均符合《声环境质量标准》（GB3096-2008）中的</w:t>
            </w:r>
            <w:r>
              <w:rPr>
                <w:rFonts w:hint="eastAsia"/>
                <w:sz w:val="24"/>
                <w:lang w:val="en-US" w:eastAsia="zh-CN"/>
              </w:rPr>
              <w:t>2</w:t>
            </w:r>
            <w:r>
              <w:rPr>
                <w:sz w:val="24"/>
              </w:rPr>
              <w:t>类标准要求。声环境质量较好。</w:t>
            </w:r>
          </w:p>
          <w:p>
            <w:pPr>
              <w:pStyle w:val="36"/>
              <w:wordWrap/>
              <w:spacing w:beforeLines="0" w:line="480" w:lineRule="exact"/>
              <w:ind w:left="0" w:leftChars="0" w:right="0" w:firstLine="482" w:firstLineChars="200"/>
              <w:textAlignment w:val="auto"/>
              <w:outlineLvl w:val="9"/>
              <w:rPr>
                <w:rFonts w:hint="default" w:ascii="Times New Roman" w:hAnsi="Times New Roman" w:eastAsia="宋体" w:cs="Times New Roman"/>
                <w:b/>
                <w:color w:val="auto"/>
                <w:sz w:val="24"/>
                <w:szCs w:val="24"/>
              </w:rPr>
            </w:pPr>
            <w:r>
              <w:rPr>
                <w:rFonts w:hint="eastAsia" w:ascii="Times New Roman" w:hAnsi="Times New Roman" w:cs="Times New Roman"/>
                <w:b/>
                <w:color w:val="auto"/>
                <w:sz w:val="24"/>
                <w:szCs w:val="24"/>
                <w:lang w:val="en-US" w:eastAsia="zh-CN"/>
              </w:rPr>
              <w:t>5</w:t>
            </w:r>
            <w:r>
              <w:rPr>
                <w:rFonts w:hint="default" w:ascii="Times New Roman" w:hAnsi="Times New Roman" w:eastAsia="宋体" w:cs="Times New Roman"/>
                <w:b/>
                <w:color w:val="auto"/>
                <w:sz w:val="24"/>
                <w:szCs w:val="24"/>
              </w:rPr>
              <w:t>、生态环境质量</w:t>
            </w:r>
          </w:p>
          <w:p>
            <w:pPr>
              <w:widowControl/>
              <w:wordWrap/>
              <w:spacing w:line="480" w:lineRule="exact"/>
              <w:ind w:left="0" w:leftChars="0" w:right="0" w:firstLine="480" w:firstLineChars="200"/>
              <w:jc w:val="both"/>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现场踏勘，项目所在地区域内无野生动物，有山鸡、田鼠、青蛙、山雀等常见物种，家畜以牛、羊、猪为主，家禽以鸡、鸭、鹅为主；该区域野生植物以马尾松、地肤子、杉树、樟树、泡桐、竹子等一般植物居多，无自然保护区和重点文物保护单位，区内未见国家法定珍稀物种。</w:t>
            </w:r>
          </w:p>
          <w:p>
            <w:pPr>
              <w:pStyle w:val="109"/>
              <w:rPr>
                <w:rFonts w:hint="default" w:ascii="Times New Roman" w:hAnsi="Times New Roman" w:cs="Times New Roman"/>
                <w:color w:val="auto"/>
                <w:sz w:val="24"/>
                <w:szCs w:val="28"/>
                <w:lang w:val="en-US" w:eastAsia="zh-CN"/>
              </w:rPr>
            </w:pPr>
            <w:r>
              <w:rPr>
                <w:rFonts w:hint="default" w:ascii="Times New Roman" w:hAnsi="Times New Roman" w:cs="Times New Roman"/>
                <w:color w:val="auto"/>
                <w:sz w:val="24"/>
                <w:szCs w:val="28"/>
                <w:lang w:val="en-US" w:eastAsia="zh-CN"/>
              </w:rPr>
              <w:t>本项目位于</w:t>
            </w:r>
            <w:r>
              <w:rPr>
                <w:rFonts w:hint="eastAsia" w:ascii="Times New Roman" w:hAnsi="Times New Roman" w:cs="Times New Roman"/>
                <w:color w:val="auto"/>
                <w:sz w:val="24"/>
                <w:szCs w:val="28"/>
                <w:lang w:val="en-US" w:eastAsia="zh-CN"/>
              </w:rPr>
              <w:t>邵东市仙槎桥镇平阳村</w:t>
            </w:r>
            <w:r>
              <w:rPr>
                <w:rFonts w:hint="default" w:ascii="Times New Roman" w:hAnsi="Times New Roman" w:cs="Times New Roman"/>
                <w:color w:val="auto"/>
                <w:sz w:val="24"/>
                <w:szCs w:val="28"/>
                <w:lang w:val="en-US" w:eastAsia="zh-CN"/>
              </w:rPr>
              <w:t>，</w:t>
            </w:r>
            <w:r>
              <w:rPr>
                <w:rFonts w:hint="eastAsia" w:ascii="Times New Roman" w:hAnsi="Times New Roman" w:cs="Times New Roman"/>
                <w:color w:val="auto"/>
                <w:sz w:val="24"/>
                <w:szCs w:val="28"/>
                <w:lang w:val="en-US" w:eastAsia="zh-CN"/>
              </w:rPr>
              <w:t>是已建项目</w:t>
            </w:r>
            <w:r>
              <w:rPr>
                <w:rFonts w:hint="default" w:ascii="Times New Roman" w:hAnsi="Times New Roman" w:cs="Times New Roman"/>
                <w:color w:val="auto"/>
                <w:sz w:val="24"/>
                <w:szCs w:val="28"/>
                <w:lang w:val="en-US" w:eastAsia="zh-CN"/>
              </w:rPr>
              <w:t>。</w:t>
            </w: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pStyle w:val="109"/>
              <w:rPr>
                <w:rFonts w:hint="default" w:ascii="Times New Roman" w:hAnsi="Times New Roman" w:cs="Times New Roman"/>
                <w:color w:val="auto"/>
                <w:sz w:val="24"/>
                <w:szCs w:val="28"/>
                <w:lang w:val="en-US" w:eastAsia="zh-CN"/>
              </w:rPr>
            </w:pPr>
          </w:p>
          <w:p>
            <w:pPr>
              <w:spacing w:line="360" w:lineRule="auto"/>
              <w:ind w:firstLine="480" w:firstLineChars="200"/>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96" w:hRule="atLeast"/>
          <w:jc w:val="center"/>
        </w:trPr>
        <w:tc>
          <w:tcPr>
            <w:tcW w:w="9310" w:type="dxa"/>
            <w:vAlign w:val="top"/>
          </w:tcPr>
          <w:p>
            <w:pPr>
              <w:spacing w:line="420" w:lineRule="exact"/>
              <w:rPr>
                <w:sz w:val="24"/>
                <w:szCs w:val="24"/>
              </w:rPr>
            </w:pPr>
            <w:r>
              <w:rPr>
                <w:sz w:val="24"/>
                <w:szCs w:val="24"/>
              </w:rPr>
              <w:t>主要环境保护目标（列出名单及保护级别）：</w:t>
            </w:r>
          </w:p>
          <w:p>
            <w:pPr>
              <w:spacing w:line="360" w:lineRule="auto"/>
              <w:ind w:firstLine="480" w:firstLineChars="200"/>
              <w:rPr>
                <w:sz w:val="24"/>
                <w:szCs w:val="24"/>
              </w:rPr>
            </w:pPr>
            <w:r>
              <w:rPr>
                <w:sz w:val="24"/>
                <w:szCs w:val="24"/>
              </w:rPr>
              <w:t>根据现场调查，项目评价区域内没有风景名胜区和珍稀野生动植物资源，根据工程性质和周围环境特征，确定评价范围内周围居民点为主要大气环境保护目标；槎江为地表水环境保护目标，本项目0点坐标（</w:t>
            </w:r>
            <w:r>
              <w:rPr>
                <w:rFonts w:hint="eastAsia"/>
                <w:sz w:val="24"/>
                <w:szCs w:val="24"/>
                <w:lang w:eastAsia="zh-CN"/>
              </w:rPr>
              <w:t>东经111.691262°、北纬27.146548°</w:t>
            </w:r>
            <w:r>
              <w:rPr>
                <w:sz w:val="24"/>
                <w:szCs w:val="24"/>
              </w:rPr>
              <w:t>）本项目的主要环境保护目标见表3-4、3-5、3-6。</w:t>
            </w:r>
          </w:p>
          <w:p>
            <w:pPr>
              <w:jc w:val="center"/>
            </w:pPr>
            <w:r>
              <w:t>表3-4水环境保护目标一览表</w:t>
            </w:r>
          </w:p>
          <w:tbl>
            <w:tblPr>
              <w:tblStyle w:val="38"/>
              <w:tblW w:w="906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78"/>
              <w:gridCol w:w="1560"/>
              <w:gridCol w:w="1277"/>
              <w:gridCol w:w="1700"/>
              <w:gridCol w:w="1285"/>
              <w:gridCol w:w="226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3" w:hRule="atLeast"/>
                <w:jc w:val="center"/>
              </w:trPr>
              <w:tc>
                <w:tcPr>
                  <w:tcW w:w="978" w:type="dxa"/>
                  <w:vAlign w:val="center"/>
                </w:tcPr>
                <w:p>
                  <w:pPr>
                    <w:autoSpaceDE w:val="0"/>
                    <w:autoSpaceDN w:val="0"/>
                    <w:jc w:val="center"/>
                  </w:pPr>
                  <w:r>
                    <w:t>环境要素</w:t>
                  </w:r>
                </w:p>
              </w:tc>
              <w:tc>
                <w:tcPr>
                  <w:tcW w:w="1560" w:type="dxa"/>
                  <w:vAlign w:val="center"/>
                </w:tcPr>
                <w:p>
                  <w:pPr>
                    <w:autoSpaceDE w:val="0"/>
                    <w:autoSpaceDN w:val="0"/>
                    <w:jc w:val="center"/>
                  </w:pPr>
                  <w:r>
                    <w:t>保护目标</w:t>
                  </w:r>
                </w:p>
              </w:tc>
              <w:tc>
                <w:tcPr>
                  <w:tcW w:w="1277" w:type="dxa"/>
                  <w:vAlign w:val="center"/>
                </w:tcPr>
                <w:p>
                  <w:pPr>
                    <w:autoSpaceDE w:val="0"/>
                    <w:autoSpaceDN w:val="0"/>
                    <w:jc w:val="center"/>
                  </w:pPr>
                  <w:r>
                    <w:t>厂界距离</w:t>
                  </w:r>
                </w:p>
              </w:tc>
              <w:tc>
                <w:tcPr>
                  <w:tcW w:w="1700" w:type="dxa"/>
                  <w:vAlign w:val="center"/>
                </w:tcPr>
                <w:p>
                  <w:pPr>
                    <w:autoSpaceDE w:val="0"/>
                    <w:autoSpaceDN w:val="0"/>
                    <w:jc w:val="center"/>
                  </w:pPr>
                  <w:r>
                    <w:t>水力联系</w:t>
                  </w:r>
                </w:p>
              </w:tc>
              <w:tc>
                <w:tcPr>
                  <w:tcW w:w="1285" w:type="dxa"/>
                  <w:vAlign w:val="center"/>
                </w:tcPr>
                <w:p>
                  <w:pPr>
                    <w:autoSpaceDE w:val="0"/>
                    <w:autoSpaceDN w:val="0"/>
                    <w:jc w:val="center"/>
                  </w:pPr>
                  <w:r>
                    <w:t>功能与规模</w:t>
                  </w:r>
                </w:p>
              </w:tc>
              <w:tc>
                <w:tcPr>
                  <w:tcW w:w="2264" w:type="dxa"/>
                  <w:vAlign w:val="center"/>
                </w:tcPr>
                <w:p>
                  <w:pPr>
                    <w:autoSpaceDE w:val="0"/>
                    <w:autoSpaceDN w:val="0"/>
                    <w:jc w:val="center"/>
                  </w:pPr>
                  <w:r>
                    <w:t>保护级别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3" w:hRule="atLeast"/>
                <w:jc w:val="center"/>
              </w:trPr>
              <w:tc>
                <w:tcPr>
                  <w:tcW w:w="978" w:type="dxa"/>
                  <w:vAlign w:val="center"/>
                </w:tcPr>
                <w:p>
                  <w:pPr>
                    <w:autoSpaceDE w:val="0"/>
                    <w:autoSpaceDN w:val="0"/>
                    <w:jc w:val="center"/>
                  </w:pPr>
                  <w:r>
                    <w:t>地表水环境</w:t>
                  </w:r>
                </w:p>
              </w:tc>
              <w:tc>
                <w:tcPr>
                  <w:tcW w:w="1560" w:type="dxa"/>
                  <w:vAlign w:val="center"/>
                </w:tcPr>
                <w:p>
                  <w:pPr>
                    <w:autoSpaceDE w:val="0"/>
                    <w:autoSpaceDN w:val="0"/>
                    <w:jc w:val="center"/>
                  </w:pPr>
                  <w:r>
                    <w:t>槎江</w:t>
                  </w:r>
                </w:p>
              </w:tc>
              <w:tc>
                <w:tcPr>
                  <w:tcW w:w="1277" w:type="dxa"/>
                  <w:vAlign w:val="center"/>
                </w:tcPr>
                <w:p>
                  <w:pPr>
                    <w:autoSpaceDE w:val="0"/>
                    <w:autoSpaceDN w:val="0"/>
                    <w:jc w:val="center"/>
                    <w:rPr>
                      <w:rFonts w:hint="eastAsia"/>
                      <w:lang w:eastAsia="zh-CN"/>
                    </w:rPr>
                  </w:pPr>
                  <w:r>
                    <w:rPr>
                      <w:rFonts w:hint="eastAsia"/>
                      <w:lang w:eastAsia="zh-CN"/>
                    </w:rPr>
                    <w:t>W367m</w:t>
                  </w:r>
                </w:p>
              </w:tc>
              <w:tc>
                <w:tcPr>
                  <w:tcW w:w="1700" w:type="dxa"/>
                  <w:vAlign w:val="center"/>
                </w:tcPr>
                <w:p>
                  <w:pPr>
                    <w:autoSpaceDE w:val="0"/>
                    <w:autoSpaceDN w:val="0"/>
                    <w:jc w:val="center"/>
                    <w:rPr>
                      <w:rFonts w:hint="eastAsia"/>
                      <w:lang w:eastAsia="zh-CN"/>
                    </w:rPr>
                  </w:pPr>
                  <w:r>
                    <w:rPr>
                      <w:rFonts w:hint="eastAsia"/>
                      <w:lang w:eastAsia="zh-CN"/>
                    </w:rPr>
                    <w:t>生活污水经化粪池处理后用作农肥</w:t>
                  </w:r>
                </w:p>
              </w:tc>
              <w:tc>
                <w:tcPr>
                  <w:tcW w:w="1285" w:type="dxa"/>
                  <w:vAlign w:val="center"/>
                </w:tcPr>
                <w:p>
                  <w:pPr>
                    <w:autoSpaceDE w:val="0"/>
                    <w:autoSpaceDN w:val="0"/>
                    <w:jc w:val="center"/>
                  </w:pPr>
                  <w:r>
                    <w:t>渔业用水，</w:t>
                  </w:r>
                  <w:r>
                    <w:rPr>
                      <w:rFonts w:hint="eastAsia"/>
                      <w:lang w:eastAsia="zh-CN"/>
                    </w:rPr>
                    <w:t>小</w:t>
                  </w:r>
                  <w:r>
                    <w:t>河</w:t>
                  </w:r>
                </w:p>
              </w:tc>
              <w:tc>
                <w:tcPr>
                  <w:tcW w:w="2264" w:type="dxa"/>
                  <w:vAlign w:val="center"/>
                </w:tcPr>
                <w:p>
                  <w:pPr>
                    <w:autoSpaceDE w:val="0"/>
                    <w:autoSpaceDN w:val="0"/>
                    <w:jc w:val="center"/>
                  </w:pPr>
                  <w:r>
                    <w:t>《地表水环境质量标准》（GB3838-2002）</w:t>
                  </w:r>
                  <w:r>
                    <w:rPr>
                      <w:rFonts w:hint="eastAsia"/>
                    </w:rPr>
                    <w:t>Ⅲ</w:t>
                  </w:r>
                  <w:r>
                    <w:t>类水域标准</w:t>
                  </w:r>
                </w:p>
              </w:tc>
            </w:tr>
          </w:tbl>
          <w:p>
            <w:pPr>
              <w:jc w:val="center"/>
            </w:pPr>
            <w:r>
              <w:t>表3-5环境空气保护目标一览表</w:t>
            </w:r>
          </w:p>
          <w:tbl>
            <w:tblPr>
              <w:tblStyle w:val="38"/>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1"/>
              <w:gridCol w:w="601"/>
              <w:gridCol w:w="601"/>
              <w:gridCol w:w="989"/>
              <w:gridCol w:w="1000"/>
              <w:gridCol w:w="1177"/>
              <w:gridCol w:w="1380"/>
              <w:gridCol w:w="15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741" w:type="dxa"/>
                  <w:vMerge w:val="restart"/>
                  <w:vAlign w:val="center"/>
                </w:tcPr>
                <w:p>
                  <w:pPr>
                    <w:autoSpaceDE w:val="0"/>
                    <w:autoSpaceDN w:val="0"/>
                    <w:adjustRightInd w:val="0"/>
                    <w:jc w:val="center"/>
                    <w:rPr>
                      <w:lang w:val="zh-CN"/>
                    </w:rPr>
                  </w:pPr>
                  <w:r>
                    <w:rPr>
                      <w:lang w:val="zh-CN"/>
                    </w:rPr>
                    <w:t>名称</w:t>
                  </w:r>
                </w:p>
              </w:tc>
              <w:tc>
                <w:tcPr>
                  <w:tcW w:w="1202" w:type="dxa"/>
                  <w:gridSpan w:val="2"/>
                  <w:vAlign w:val="center"/>
                </w:tcPr>
                <w:p>
                  <w:pPr>
                    <w:autoSpaceDE w:val="0"/>
                    <w:autoSpaceDN w:val="0"/>
                    <w:adjustRightInd w:val="0"/>
                    <w:jc w:val="center"/>
                    <w:rPr>
                      <w:lang w:val="zh-CN"/>
                    </w:rPr>
                  </w:pPr>
                  <w:r>
                    <w:rPr>
                      <w:lang w:val="zh-CN"/>
                    </w:rPr>
                    <w:t>坐标/m</w:t>
                  </w:r>
                </w:p>
              </w:tc>
              <w:tc>
                <w:tcPr>
                  <w:tcW w:w="989" w:type="dxa"/>
                  <w:vMerge w:val="restart"/>
                  <w:vAlign w:val="center"/>
                </w:tcPr>
                <w:p>
                  <w:pPr>
                    <w:autoSpaceDE w:val="0"/>
                    <w:autoSpaceDN w:val="0"/>
                    <w:adjustRightInd w:val="0"/>
                    <w:jc w:val="center"/>
                    <w:rPr>
                      <w:lang w:val="zh-CN"/>
                    </w:rPr>
                  </w:pPr>
                  <w:r>
                    <w:rPr>
                      <w:lang w:val="zh-CN"/>
                    </w:rPr>
                    <w:t>保护对象</w:t>
                  </w:r>
                </w:p>
              </w:tc>
              <w:tc>
                <w:tcPr>
                  <w:tcW w:w="1000" w:type="dxa"/>
                  <w:vMerge w:val="restart"/>
                  <w:vAlign w:val="center"/>
                </w:tcPr>
                <w:p>
                  <w:pPr>
                    <w:autoSpaceDE w:val="0"/>
                    <w:autoSpaceDN w:val="0"/>
                    <w:adjustRightInd w:val="0"/>
                    <w:jc w:val="center"/>
                    <w:rPr>
                      <w:lang w:val="zh-CN"/>
                    </w:rPr>
                  </w:pPr>
                  <w:r>
                    <w:rPr>
                      <w:lang w:val="zh-CN"/>
                    </w:rPr>
                    <w:t>保护内容</w:t>
                  </w:r>
                </w:p>
              </w:tc>
              <w:tc>
                <w:tcPr>
                  <w:tcW w:w="1177" w:type="dxa"/>
                  <w:vMerge w:val="restart"/>
                  <w:vAlign w:val="center"/>
                </w:tcPr>
                <w:p>
                  <w:pPr>
                    <w:autoSpaceDE w:val="0"/>
                    <w:autoSpaceDN w:val="0"/>
                    <w:adjustRightInd w:val="0"/>
                    <w:jc w:val="center"/>
                    <w:rPr>
                      <w:lang w:val="zh-CN"/>
                    </w:rPr>
                  </w:pPr>
                  <w:r>
                    <w:rPr>
                      <w:lang w:val="zh-CN"/>
                    </w:rPr>
                    <w:t>环境功能区</w:t>
                  </w:r>
                </w:p>
              </w:tc>
              <w:tc>
                <w:tcPr>
                  <w:tcW w:w="1380" w:type="dxa"/>
                  <w:vMerge w:val="restart"/>
                  <w:vAlign w:val="center"/>
                </w:tcPr>
                <w:p>
                  <w:pPr>
                    <w:autoSpaceDE w:val="0"/>
                    <w:autoSpaceDN w:val="0"/>
                    <w:adjustRightInd w:val="0"/>
                    <w:jc w:val="center"/>
                    <w:rPr>
                      <w:lang w:val="zh-CN"/>
                    </w:rPr>
                  </w:pPr>
                  <w:r>
                    <w:rPr>
                      <w:lang w:val="zh-CN"/>
                    </w:rPr>
                    <w:t>相对厂界方位</w:t>
                  </w:r>
                </w:p>
              </w:tc>
              <w:tc>
                <w:tcPr>
                  <w:tcW w:w="1575" w:type="dxa"/>
                  <w:vMerge w:val="restart"/>
                  <w:vAlign w:val="center"/>
                </w:tcPr>
                <w:p>
                  <w:pPr>
                    <w:autoSpaceDE w:val="0"/>
                    <w:autoSpaceDN w:val="0"/>
                    <w:adjustRightInd w:val="0"/>
                    <w:jc w:val="center"/>
                    <w:rPr>
                      <w:lang w:val="zh-CN"/>
                    </w:rPr>
                  </w:pPr>
                  <w:r>
                    <w:rPr>
                      <w:lang w:val="zh-CN"/>
                    </w:rPr>
                    <w:t>相对厂界距离/m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741" w:type="dxa"/>
                  <w:vMerge w:val="continue"/>
                  <w:vAlign w:val="center"/>
                </w:tcPr>
                <w:p>
                  <w:pPr>
                    <w:autoSpaceDE w:val="0"/>
                    <w:autoSpaceDN w:val="0"/>
                    <w:adjustRightInd w:val="0"/>
                    <w:jc w:val="center"/>
                    <w:rPr>
                      <w:lang w:val="zh-CN"/>
                    </w:rPr>
                  </w:pPr>
                </w:p>
              </w:tc>
              <w:tc>
                <w:tcPr>
                  <w:tcW w:w="601" w:type="dxa"/>
                  <w:vAlign w:val="center"/>
                </w:tcPr>
                <w:p>
                  <w:pPr>
                    <w:autoSpaceDE w:val="0"/>
                    <w:autoSpaceDN w:val="0"/>
                    <w:adjustRightInd w:val="0"/>
                    <w:jc w:val="center"/>
                    <w:rPr>
                      <w:lang w:val="zh-CN"/>
                    </w:rPr>
                  </w:pPr>
                  <w:r>
                    <w:rPr>
                      <w:lang w:val="zh-CN"/>
                    </w:rPr>
                    <w:t>X</w:t>
                  </w:r>
                </w:p>
              </w:tc>
              <w:tc>
                <w:tcPr>
                  <w:tcW w:w="601" w:type="dxa"/>
                  <w:vAlign w:val="center"/>
                </w:tcPr>
                <w:p>
                  <w:pPr>
                    <w:autoSpaceDE w:val="0"/>
                    <w:autoSpaceDN w:val="0"/>
                    <w:adjustRightInd w:val="0"/>
                    <w:jc w:val="center"/>
                    <w:rPr>
                      <w:lang w:val="zh-CN"/>
                    </w:rPr>
                  </w:pPr>
                  <w:r>
                    <w:rPr>
                      <w:lang w:val="zh-CN"/>
                    </w:rPr>
                    <w:t>Y</w:t>
                  </w:r>
                </w:p>
              </w:tc>
              <w:tc>
                <w:tcPr>
                  <w:tcW w:w="989" w:type="dxa"/>
                  <w:vMerge w:val="continue"/>
                  <w:vAlign w:val="center"/>
                </w:tcPr>
                <w:p>
                  <w:pPr>
                    <w:autoSpaceDE w:val="0"/>
                    <w:autoSpaceDN w:val="0"/>
                    <w:adjustRightInd w:val="0"/>
                    <w:jc w:val="center"/>
                    <w:rPr>
                      <w:lang w:val="zh-CN"/>
                    </w:rPr>
                  </w:pPr>
                </w:p>
              </w:tc>
              <w:tc>
                <w:tcPr>
                  <w:tcW w:w="1000" w:type="dxa"/>
                  <w:vMerge w:val="continue"/>
                  <w:vAlign w:val="center"/>
                </w:tcPr>
                <w:p>
                  <w:pPr>
                    <w:autoSpaceDE w:val="0"/>
                    <w:autoSpaceDN w:val="0"/>
                    <w:adjustRightInd w:val="0"/>
                    <w:jc w:val="center"/>
                    <w:rPr>
                      <w:lang w:val="zh-CN"/>
                    </w:rPr>
                  </w:pPr>
                </w:p>
              </w:tc>
              <w:tc>
                <w:tcPr>
                  <w:tcW w:w="1177" w:type="dxa"/>
                  <w:vMerge w:val="continue"/>
                  <w:vAlign w:val="center"/>
                </w:tcPr>
                <w:p>
                  <w:pPr>
                    <w:autoSpaceDE w:val="0"/>
                    <w:autoSpaceDN w:val="0"/>
                    <w:adjustRightInd w:val="0"/>
                    <w:jc w:val="center"/>
                    <w:rPr>
                      <w:lang w:val="zh-CN"/>
                    </w:rPr>
                  </w:pPr>
                </w:p>
              </w:tc>
              <w:tc>
                <w:tcPr>
                  <w:tcW w:w="1380" w:type="dxa"/>
                  <w:vMerge w:val="continue"/>
                  <w:vAlign w:val="center"/>
                </w:tcPr>
                <w:p>
                  <w:pPr>
                    <w:autoSpaceDE w:val="0"/>
                    <w:autoSpaceDN w:val="0"/>
                    <w:adjustRightInd w:val="0"/>
                    <w:jc w:val="center"/>
                    <w:rPr>
                      <w:lang w:val="zh-CN"/>
                    </w:rPr>
                  </w:pPr>
                </w:p>
              </w:tc>
              <w:tc>
                <w:tcPr>
                  <w:tcW w:w="1575" w:type="dxa"/>
                  <w:vMerge w:val="continue"/>
                  <w:vAlign w:val="center"/>
                </w:tcPr>
                <w:p>
                  <w:pPr>
                    <w:autoSpaceDE w:val="0"/>
                    <w:autoSpaceDN w:val="0"/>
                    <w:adjustRightInd w:val="0"/>
                    <w:jc w:val="center"/>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741" w:type="dxa"/>
                  <w:vAlign w:val="center"/>
                </w:tcPr>
                <w:p>
                  <w:pPr>
                    <w:autoSpaceDE w:val="0"/>
                    <w:autoSpaceDN w:val="0"/>
                    <w:adjustRightInd w:val="0"/>
                    <w:jc w:val="center"/>
                    <w:rPr>
                      <w:lang w:val="zh-CN"/>
                    </w:rPr>
                  </w:pPr>
                  <w:r>
                    <w:rPr>
                      <w:rFonts w:hint="eastAsia"/>
                      <w:lang w:val="zh-CN"/>
                    </w:rPr>
                    <w:t>平阳村居民</w:t>
                  </w:r>
                </w:p>
              </w:tc>
              <w:tc>
                <w:tcPr>
                  <w:tcW w:w="601" w:type="dxa"/>
                  <w:vAlign w:val="center"/>
                </w:tcPr>
                <w:p>
                  <w:pPr>
                    <w:autoSpaceDE w:val="0"/>
                    <w:autoSpaceDN w:val="0"/>
                    <w:adjustRightInd w:val="0"/>
                    <w:jc w:val="center"/>
                    <w:rPr>
                      <w:rFonts w:hint="eastAsia"/>
                      <w:lang w:val="en-US" w:eastAsia="zh-CN"/>
                    </w:rPr>
                  </w:pPr>
                  <w:r>
                    <w:rPr>
                      <w:rFonts w:hint="eastAsia"/>
                      <w:lang w:val="en-US" w:eastAsia="zh-CN"/>
                    </w:rPr>
                    <w:t>120</w:t>
                  </w:r>
                </w:p>
              </w:tc>
              <w:tc>
                <w:tcPr>
                  <w:tcW w:w="601" w:type="dxa"/>
                  <w:vAlign w:val="center"/>
                </w:tcPr>
                <w:p>
                  <w:pPr>
                    <w:autoSpaceDE w:val="0"/>
                    <w:autoSpaceDN w:val="0"/>
                    <w:adjustRightInd w:val="0"/>
                    <w:jc w:val="center"/>
                    <w:rPr>
                      <w:rFonts w:hint="eastAsia"/>
                      <w:lang w:val="en-US" w:eastAsia="zh-CN"/>
                    </w:rPr>
                  </w:pPr>
                  <w:r>
                    <w:rPr>
                      <w:rFonts w:hint="eastAsia"/>
                      <w:lang w:val="en-US" w:eastAsia="zh-CN"/>
                    </w:rPr>
                    <w:t>10</w:t>
                  </w:r>
                </w:p>
              </w:tc>
              <w:tc>
                <w:tcPr>
                  <w:tcW w:w="989" w:type="dxa"/>
                  <w:vAlign w:val="center"/>
                </w:tcPr>
                <w:p>
                  <w:pPr>
                    <w:autoSpaceDE w:val="0"/>
                    <w:autoSpaceDN w:val="0"/>
                    <w:adjustRightInd w:val="0"/>
                    <w:jc w:val="center"/>
                    <w:rPr>
                      <w:lang w:val="zh-CN"/>
                    </w:rPr>
                  </w:pPr>
                  <w:r>
                    <w:rPr>
                      <w:rFonts w:hint="eastAsia"/>
                      <w:lang w:val="zh-CN"/>
                    </w:rPr>
                    <w:t>人群</w:t>
                  </w:r>
                </w:p>
              </w:tc>
              <w:tc>
                <w:tcPr>
                  <w:tcW w:w="1000" w:type="dxa"/>
                  <w:vAlign w:val="center"/>
                </w:tcPr>
                <w:p>
                  <w:pPr>
                    <w:autoSpaceDE w:val="0"/>
                    <w:autoSpaceDN w:val="0"/>
                    <w:adjustRightInd w:val="0"/>
                    <w:jc w:val="center"/>
                    <w:rPr>
                      <w:lang w:val="zh-CN"/>
                    </w:rPr>
                  </w:pPr>
                  <w:r>
                    <w:rPr>
                      <w:rFonts w:hint="eastAsia"/>
                      <w:lang w:val="zh-CN"/>
                    </w:rPr>
                    <w:t>住宅</w:t>
                  </w:r>
                </w:p>
              </w:tc>
              <w:tc>
                <w:tcPr>
                  <w:tcW w:w="1177" w:type="dxa"/>
                  <w:vMerge w:val="restart"/>
                  <w:vAlign w:val="center"/>
                </w:tcPr>
                <w:p>
                  <w:pPr>
                    <w:autoSpaceDE w:val="0"/>
                    <w:autoSpaceDN w:val="0"/>
                    <w:adjustRightInd w:val="0"/>
                    <w:jc w:val="center"/>
                    <w:rPr>
                      <w:lang w:val="zh-CN"/>
                    </w:rPr>
                  </w:pPr>
                  <w:r>
                    <w:t>二类区</w:t>
                  </w:r>
                </w:p>
              </w:tc>
              <w:tc>
                <w:tcPr>
                  <w:tcW w:w="1380" w:type="dxa"/>
                  <w:vAlign w:val="center"/>
                </w:tcPr>
                <w:p>
                  <w:pPr>
                    <w:autoSpaceDE w:val="0"/>
                    <w:autoSpaceDN w:val="0"/>
                    <w:adjustRightInd w:val="0"/>
                    <w:jc w:val="center"/>
                    <w:rPr>
                      <w:lang w:val="zh-CN"/>
                    </w:rPr>
                  </w:pPr>
                  <w:r>
                    <w:rPr>
                      <w:lang w:val="zh-CN"/>
                    </w:rPr>
                    <w:t>E</w:t>
                  </w:r>
                </w:p>
              </w:tc>
              <w:tc>
                <w:tcPr>
                  <w:tcW w:w="1575" w:type="dxa"/>
                  <w:vAlign w:val="center"/>
                </w:tcPr>
                <w:p>
                  <w:pPr>
                    <w:autoSpaceDE w:val="0"/>
                    <w:autoSpaceDN w:val="0"/>
                    <w:adjustRightInd w:val="0"/>
                    <w:jc w:val="center"/>
                    <w:rPr>
                      <w:rFonts w:hint="eastAsia"/>
                      <w:lang w:val="en-US" w:eastAsia="zh-CN"/>
                    </w:rPr>
                  </w:pPr>
                  <w:r>
                    <w:rPr>
                      <w:rFonts w:hint="eastAsia"/>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741" w:type="dxa"/>
                  <w:vAlign w:val="center"/>
                </w:tcPr>
                <w:p>
                  <w:pPr>
                    <w:autoSpaceDE w:val="0"/>
                    <w:autoSpaceDN w:val="0"/>
                    <w:adjustRightInd w:val="0"/>
                    <w:jc w:val="center"/>
                    <w:rPr>
                      <w:lang w:val="zh-CN"/>
                    </w:rPr>
                  </w:pPr>
                  <w:r>
                    <w:rPr>
                      <w:rFonts w:hint="eastAsia"/>
                      <w:lang w:val="zh-CN"/>
                    </w:rPr>
                    <w:t>平阳村居民</w:t>
                  </w:r>
                </w:p>
              </w:tc>
              <w:tc>
                <w:tcPr>
                  <w:tcW w:w="601" w:type="dxa"/>
                  <w:vAlign w:val="center"/>
                </w:tcPr>
                <w:p>
                  <w:pPr>
                    <w:autoSpaceDE w:val="0"/>
                    <w:autoSpaceDN w:val="0"/>
                    <w:adjustRightInd w:val="0"/>
                    <w:jc w:val="center"/>
                    <w:rPr>
                      <w:rFonts w:hint="eastAsia"/>
                      <w:lang w:val="en-US" w:eastAsia="zh-CN"/>
                    </w:rPr>
                  </w:pPr>
                  <w:r>
                    <w:rPr>
                      <w:rFonts w:hint="eastAsia"/>
                      <w:lang w:val="en-US" w:eastAsia="zh-CN"/>
                    </w:rPr>
                    <w:t>-16</w:t>
                  </w:r>
                </w:p>
              </w:tc>
              <w:tc>
                <w:tcPr>
                  <w:tcW w:w="601" w:type="dxa"/>
                  <w:vAlign w:val="center"/>
                </w:tcPr>
                <w:p>
                  <w:pPr>
                    <w:autoSpaceDE w:val="0"/>
                    <w:autoSpaceDN w:val="0"/>
                    <w:adjustRightInd w:val="0"/>
                    <w:jc w:val="center"/>
                    <w:rPr>
                      <w:rFonts w:hint="eastAsia"/>
                      <w:lang w:val="en-US" w:eastAsia="zh-CN"/>
                    </w:rPr>
                  </w:pPr>
                  <w:r>
                    <w:rPr>
                      <w:rFonts w:hint="eastAsia"/>
                      <w:lang w:val="zh-CN"/>
                    </w:rPr>
                    <w:t>-</w:t>
                  </w:r>
                  <w:r>
                    <w:rPr>
                      <w:rFonts w:hint="eastAsia"/>
                      <w:lang w:val="en-US" w:eastAsia="zh-CN"/>
                    </w:rPr>
                    <w:t>53</w:t>
                  </w:r>
                </w:p>
              </w:tc>
              <w:tc>
                <w:tcPr>
                  <w:tcW w:w="989" w:type="dxa"/>
                  <w:vAlign w:val="center"/>
                </w:tcPr>
                <w:p>
                  <w:pPr>
                    <w:autoSpaceDE w:val="0"/>
                    <w:autoSpaceDN w:val="0"/>
                    <w:adjustRightInd w:val="0"/>
                    <w:jc w:val="center"/>
                    <w:rPr>
                      <w:lang w:val="zh-CN"/>
                    </w:rPr>
                  </w:pPr>
                  <w:r>
                    <w:rPr>
                      <w:rFonts w:hint="eastAsia"/>
                      <w:lang w:val="zh-CN"/>
                    </w:rPr>
                    <w:t>人群</w:t>
                  </w:r>
                </w:p>
              </w:tc>
              <w:tc>
                <w:tcPr>
                  <w:tcW w:w="1000" w:type="dxa"/>
                  <w:vAlign w:val="center"/>
                </w:tcPr>
                <w:p>
                  <w:pPr>
                    <w:autoSpaceDE w:val="0"/>
                    <w:autoSpaceDN w:val="0"/>
                    <w:adjustRightInd w:val="0"/>
                    <w:jc w:val="center"/>
                    <w:rPr>
                      <w:lang w:val="zh-CN"/>
                    </w:rPr>
                  </w:pPr>
                  <w:r>
                    <w:rPr>
                      <w:rFonts w:hint="eastAsia"/>
                      <w:lang w:val="zh-CN"/>
                    </w:rPr>
                    <w:t>住宅</w:t>
                  </w:r>
                </w:p>
              </w:tc>
              <w:tc>
                <w:tcPr>
                  <w:tcW w:w="1177" w:type="dxa"/>
                  <w:vMerge w:val="continue"/>
                  <w:vAlign w:val="center"/>
                </w:tcPr>
                <w:p>
                  <w:pPr>
                    <w:autoSpaceDE w:val="0"/>
                    <w:autoSpaceDN w:val="0"/>
                    <w:adjustRightInd w:val="0"/>
                    <w:jc w:val="center"/>
                    <w:rPr>
                      <w:lang w:val="zh-CN"/>
                    </w:rPr>
                  </w:pPr>
                </w:p>
              </w:tc>
              <w:tc>
                <w:tcPr>
                  <w:tcW w:w="1380" w:type="dxa"/>
                  <w:vAlign w:val="center"/>
                </w:tcPr>
                <w:p>
                  <w:pPr>
                    <w:autoSpaceDE w:val="0"/>
                    <w:autoSpaceDN w:val="0"/>
                    <w:adjustRightInd w:val="0"/>
                    <w:jc w:val="center"/>
                    <w:rPr>
                      <w:lang w:val="zh-CN"/>
                    </w:rPr>
                  </w:pPr>
                  <w:r>
                    <w:rPr>
                      <w:lang w:val="zh-CN"/>
                    </w:rPr>
                    <w:t>S</w:t>
                  </w:r>
                </w:p>
              </w:tc>
              <w:tc>
                <w:tcPr>
                  <w:tcW w:w="1575" w:type="dxa"/>
                  <w:vAlign w:val="center"/>
                </w:tcPr>
                <w:p>
                  <w:pPr>
                    <w:autoSpaceDE w:val="0"/>
                    <w:autoSpaceDN w:val="0"/>
                    <w:adjustRightInd w:val="0"/>
                    <w:jc w:val="center"/>
                    <w:rPr>
                      <w:rFonts w:hint="eastAsia"/>
                      <w:lang w:val="en-US" w:eastAsia="zh-CN"/>
                    </w:rPr>
                  </w:pPr>
                  <w:r>
                    <w:rPr>
                      <w:rFonts w:hint="eastAsia"/>
                      <w:lang w:val="en-US" w:eastAsia="zh-CN"/>
                    </w:rPr>
                    <w:t>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741" w:type="dxa"/>
                  <w:vAlign w:val="center"/>
                </w:tcPr>
                <w:p>
                  <w:pPr>
                    <w:autoSpaceDE w:val="0"/>
                    <w:autoSpaceDN w:val="0"/>
                    <w:adjustRightInd w:val="0"/>
                    <w:jc w:val="center"/>
                    <w:rPr>
                      <w:lang w:val="zh-CN"/>
                    </w:rPr>
                  </w:pPr>
                  <w:r>
                    <w:rPr>
                      <w:rFonts w:hint="eastAsia"/>
                      <w:lang w:val="zh-CN"/>
                    </w:rPr>
                    <w:t>平阳村居民</w:t>
                  </w:r>
                </w:p>
              </w:tc>
              <w:tc>
                <w:tcPr>
                  <w:tcW w:w="601" w:type="dxa"/>
                  <w:vAlign w:val="center"/>
                </w:tcPr>
                <w:p>
                  <w:pPr>
                    <w:autoSpaceDE w:val="0"/>
                    <w:autoSpaceDN w:val="0"/>
                    <w:adjustRightInd w:val="0"/>
                    <w:jc w:val="center"/>
                    <w:rPr>
                      <w:rFonts w:hint="eastAsia"/>
                      <w:lang w:val="en-US" w:eastAsia="zh-CN"/>
                    </w:rPr>
                  </w:pPr>
                  <w:r>
                    <w:rPr>
                      <w:rFonts w:hint="eastAsia"/>
                      <w:lang w:val="en-US" w:eastAsia="zh-CN"/>
                    </w:rPr>
                    <w:t>-63</w:t>
                  </w:r>
                </w:p>
              </w:tc>
              <w:tc>
                <w:tcPr>
                  <w:tcW w:w="601" w:type="dxa"/>
                  <w:vAlign w:val="center"/>
                </w:tcPr>
                <w:p>
                  <w:pPr>
                    <w:autoSpaceDE w:val="0"/>
                    <w:autoSpaceDN w:val="0"/>
                    <w:adjustRightInd w:val="0"/>
                    <w:jc w:val="center"/>
                    <w:rPr>
                      <w:rFonts w:hint="eastAsia"/>
                      <w:lang w:val="zh-CN" w:eastAsia="zh-CN"/>
                    </w:rPr>
                  </w:pPr>
                  <w:r>
                    <w:rPr>
                      <w:rFonts w:hint="eastAsia"/>
                      <w:lang w:val="en-US" w:eastAsia="zh-CN"/>
                    </w:rPr>
                    <w:t>0</w:t>
                  </w:r>
                </w:p>
              </w:tc>
              <w:tc>
                <w:tcPr>
                  <w:tcW w:w="989" w:type="dxa"/>
                  <w:vAlign w:val="center"/>
                </w:tcPr>
                <w:p>
                  <w:pPr>
                    <w:autoSpaceDE w:val="0"/>
                    <w:autoSpaceDN w:val="0"/>
                    <w:adjustRightInd w:val="0"/>
                    <w:jc w:val="center"/>
                    <w:rPr>
                      <w:lang w:val="zh-CN"/>
                    </w:rPr>
                  </w:pPr>
                  <w:r>
                    <w:rPr>
                      <w:rFonts w:hint="eastAsia"/>
                      <w:lang w:val="zh-CN"/>
                    </w:rPr>
                    <w:t>人群</w:t>
                  </w:r>
                </w:p>
              </w:tc>
              <w:tc>
                <w:tcPr>
                  <w:tcW w:w="1000" w:type="dxa"/>
                  <w:vAlign w:val="center"/>
                </w:tcPr>
                <w:p>
                  <w:pPr>
                    <w:autoSpaceDE w:val="0"/>
                    <w:autoSpaceDN w:val="0"/>
                    <w:adjustRightInd w:val="0"/>
                    <w:jc w:val="center"/>
                    <w:rPr>
                      <w:lang w:val="zh-CN"/>
                    </w:rPr>
                  </w:pPr>
                  <w:r>
                    <w:rPr>
                      <w:rFonts w:hint="eastAsia"/>
                      <w:lang w:val="zh-CN"/>
                    </w:rPr>
                    <w:t>住宅</w:t>
                  </w:r>
                </w:p>
              </w:tc>
              <w:tc>
                <w:tcPr>
                  <w:tcW w:w="1177" w:type="dxa"/>
                  <w:vMerge w:val="continue"/>
                  <w:vAlign w:val="center"/>
                </w:tcPr>
                <w:p>
                  <w:pPr>
                    <w:autoSpaceDE w:val="0"/>
                    <w:autoSpaceDN w:val="0"/>
                    <w:adjustRightInd w:val="0"/>
                    <w:jc w:val="center"/>
                    <w:rPr>
                      <w:lang w:val="zh-CN"/>
                    </w:rPr>
                  </w:pPr>
                </w:p>
              </w:tc>
              <w:tc>
                <w:tcPr>
                  <w:tcW w:w="1380" w:type="dxa"/>
                  <w:vAlign w:val="center"/>
                </w:tcPr>
                <w:p>
                  <w:pPr>
                    <w:autoSpaceDE w:val="0"/>
                    <w:autoSpaceDN w:val="0"/>
                    <w:adjustRightInd w:val="0"/>
                    <w:jc w:val="center"/>
                    <w:rPr>
                      <w:lang w:val="zh-CN"/>
                    </w:rPr>
                  </w:pPr>
                  <w:r>
                    <w:rPr>
                      <w:lang w:val="zh-CN"/>
                    </w:rPr>
                    <w:t>W</w:t>
                  </w:r>
                </w:p>
              </w:tc>
              <w:tc>
                <w:tcPr>
                  <w:tcW w:w="1575" w:type="dxa"/>
                  <w:vAlign w:val="center"/>
                </w:tcPr>
                <w:p>
                  <w:pPr>
                    <w:autoSpaceDE w:val="0"/>
                    <w:autoSpaceDN w:val="0"/>
                    <w:adjustRightInd w:val="0"/>
                    <w:jc w:val="center"/>
                    <w:rPr>
                      <w:rFonts w:hint="eastAsia"/>
                      <w:lang w:val="en-US" w:eastAsia="zh-CN"/>
                    </w:rPr>
                  </w:pPr>
                  <w:r>
                    <w:rPr>
                      <w:rFonts w:hint="eastAsia"/>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1741" w:type="dxa"/>
                  <w:vAlign w:val="center"/>
                </w:tcPr>
                <w:p>
                  <w:pPr>
                    <w:autoSpaceDE w:val="0"/>
                    <w:autoSpaceDN w:val="0"/>
                    <w:adjustRightInd w:val="0"/>
                    <w:jc w:val="center"/>
                    <w:rPr>
                      <w:lang w:val="zh-CN"/>
                    </w:rPr>
                  </w:pPr>
                  <w:r>
                    <w:rPr>
                      <w:rFonts w:hint="eastAsia"/>
                      <w:lang w:val="zh-CN"/>
                    </w:rPr>
                    <w:t>平阳村居民</w:t>
                  </w:r>
                </w:p>
              </w:tc>
              <w:tc>
                <w:tcPr>
                  <w:tcW w:w="601" w:type="dxa"/>
                  <w:vAlign w:val="center"/>
                </w:tcPr>
                <w:p>
                  <w:pPr>
                    <w:autoSpaceDE w:val="0"/>
                    <w:autoSpaceDN w:val="0"/>
                    <w:adjustRightInd w:val="0"/>
                    <w:jc w:val="center"/>
                    <w:rPr>
                      <w:rFonts w:hint="eastAsia"/>
                      <w:lang w:val="en-US" w:eastAsia="zh-CN"/>
                    </w:rPr>
                  </w:pPr>
                  <w:r>
                    <w:rPr>
                      <w:rFonts w:hint="eastAsia"/>
                      <w:lang w:val="zh-CN"/>
                    </w:rPr>
                    <w:t>-</w:t>
                  </w:r>
                  <w:r>
                    <w:rPr>
                      <w:rFonts w:hint="eastAsia"/>
                      <w:lang w:val="en-US" w:eastAsia="zh-CN"/>
                    </w:rPr>
                    <w:t>40</w:t>
                  </w:r>
                </w:p>
              </w:tc>
              <w:tc>
                <w:tcPr>
                  <w:tcW w:w="601" w:type="dxa"/>
                  <w:vAlign w:val="center"/>
                </w:tcPr>
                <w:p>
                  <w:pPr>
                    <w:autoSpaceDE w:val="0"/>
                    <w:autoSpaceDN w:val="0"/>
                    <w:adjustRightInd w:val="0"/>
                    <w:jc w:val="center"/>
                    <w:rPr>
                      <w:rFonts w:hint="eastAsia"/>
                      <w:lang w:val="en-US" w:eastAsia="zh-CN"/>
                    </w:rPr>
                  </w:pPr>
                  <w:r>
                    <w:rPr>
                      <w:rFonts w:hint="eastAsia"/>
                      <w:lang w:val="en-US" w:eastAsia="zh-CN"/>
                    </w:rPr>
                    <w:t>15</w:t>
                  </w:r>
                </w:p>
              </w:tc>
              <w:tc>
                <w:tcPr>
                  <w:tcW w:w="989" w:type="dxa"/>
                  <w:vAlign w:val="center"/>
                </w:tcPr>
                <w:p>
                  <w:pPr>
                    <w:autoSpaceDE w:val="0"/>
                    <w:autoSpaceDN w:val="0"/>
                    <w:adjustRightInd w:val="0"/>
                    <w:jc w:val="center"/>
                    <w:rPr>
                      <w:lang w:val="zh-CN"/>
                    </w:rPr>
                  </w:pPr>
                  <w:r>
                    <w:rPr>
                      <w:rFonts w:hint="eastAsia"/>
                      <w:lang w:val="zh-CN"/>
                    </w:rPr>
                    <w:t>人群</w:t>
                  </w:r>
                </w:p>
              </w:tc>
              <w:tc>
                <w:tcPr>
                  <w:tcW w:w="1000" w:type="dxa"/>
                  <w:vAlign w:val="center"/>
                </w:tcPr>
                <w:p>
                  <w:pPr>
                    <w:autoSpaceDE w:val="0"/>
                    <w:autoSpaceDN w:val="0"/>
                    <w:adjustRightInd w:val="0"/>
                    <w:jc w:val="center"/>
                    <w:rPr>
                      <w:lang w:val="zh-CN"/>
                    </w:rPr>
                  </w:pPr>
                  <w:r>
                    <w:rPr>
                      <w:rFonts w:hint="eastAsia"/>
                      <w:lang w:val="zh-CN"/>
                    </w:rPr>
                    <w:t>住宅</w:t>
                  </w:r>
                </w:p>
              </w:tc>
              <w:tc>
                <w:tcPr>
                  <w:tcW w:w="1177" w:type="dxa"/>
                  <w:vMerge w:val="continue"/>
                  <w:vAlign w:val="center"/>
                </w:tcPr>
                <w:p>
                  <w:pPr>
                    <w:autoSpaceDE w:val="0"/>
                    <w:autoSpaceDN w:val="0"/>
                    <w:adjustRightInd w:val="0"/>
                    <w:jc w:val="center"/>
                    <w:rPr>
                      <w:lang w:val="zh-CN"/>
                    </w:rPr>
                  </w:pPr>
                </w:p>
              </w:tc>
              <w:tc>
                <w:tcPr>
                  <w:tcW w:w="1380" w:type="dxa"/>
                  <w:vAlign w:val="center"/>
                </w:tcPr>
                <w:p>
                  <w:pPr>
                    <w:autoSpaceDE w:val="0"/>
                    <w:autoSpaceDN w:val="0"/>
                    <w:adjustRightInd w:val="0"/>
                    <w:jc w:val="center"/>
                    <w:rPr>
                      <w:lang w:val="zh-CN"/>
                    </w:rPr>
                  </w:pPr>
                  <w:r>
                    <w:rPr>
                      <w:rFonts w:hint="eastAsia"/>
                      <w:lang w:val="zh-CN"/>
                    </w:rPr>
                    <w:t>WN</w:t>
                  </w:r>
                </w:p>
              </w:tc>
              <w:tc>
                <w:tcPr>
                  <w:tcW w:w="1575" w:type="dxa"/>
                  <w:vAlign w:val="center"/>
                </w:tcPr>
                <w:p>
                  <w:pPr>
                    <w:autoSpaceDE w:val="0"/>
                    <w:autoSpaceDN w:val="0"/>
                    <w:adjustRightInd w:val="0"/>
                    <w:jc w:val="center"/>
                    <w:rPr>
                      <w:rFonts w:hint="eastAsia"/>
                      <w:lang w:val="en-US" w:eastAsia="zh-CN"/>
                    </w:rPr>
                  </w:pPr>
                  <w:r>
                    <w:rPr>
                      <w:rFonts w:hint="eastAsia"/>
                      <w:lang w:val="en-US" w:eastAsia="zh-CN"/>
                    </w:rPr>
                    <w:t>20</w:t>
                  </w:r>
                </w:p>
              </w:tc>
            </w:tr>
          </w:tbl>
          <w:p>
            <w:pPr>
              <w:jc w:val="center"/>
            </w:pPr>
            <w:r>
              <w:t>表3-6声环境保护目标一览表</w:t>
            </w:r>
          </w:p>
          <w:tbl>
            <w:tblPr>
              <w:tblStyle w:val="38"/>
              <w:tblW w:w="906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78"/>
              <w:gridCol w:w="1559"/>
              <w:gridCol w:w="1417"/>
              <w:gridCol w:w="709"/>
              <w:gridCol w:w="851"/>
              <w:gridCol w:w="1285"/>
              <w:gridCol w:w="226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80" w:hRule="atLeast"/>
              </w:trPr>
              <w:tc>
                <w:tcPr>
                  <w:tcW w:w="978" w:type="dxa"/>
                  <w:vMerge w:val="restart"/>
                  <w:vAlign w:val="center"/>
                </w:tcPr>
                <w:p>
                  <w:pPr>
                    <w:autoSpaceDE w:val="0"/>
                    <w:autoSpaceDN w:val="0"/>
                    <w:jc w:val="center"/>
                  </w:pPr>
                  <w:r>
                    <w:t>环境要素</w:t>
                  </w:r>
                </w:p>
              </w:tc>
              <w:tc>
                <w:tcPr>
                  <w:tcW w:w="1559" w:type="dxa"/>
                  <w:vMerge w:val="restart"/>
                  <w:vAlign w:val="center"/>
                </w:tcPr>
                <w:p>
                  <w:pPr>
                    <w:autoSpaceDE w:val="0"/>
                    <w:autoSpaceDN w:val="0"/>
                    <w:jc w:val="center"/>
                  </w:pPr>
                  <w:r>
                    <w:t>保护目标</w:t>
                  </w:r>
                </w:p>
              </w:tc>
              <w:tc>
                <w:tcPr>
                  <w:tcW w:w="1417" w:type="dxa"/>
                  <w:vMerge w:val="restart"/>
                  <w:vAlign w:val="center"/>
                </w:tcPr>
                <w:p>
                  <w:pPr>
                    <w:autoSpaceDE w:val="0"/>
                    <w:autoSpaceDN w:val="0"/>
                    <w:jc w:val="center"/>
                  </w:pPr>
                  <w:r>
                    <w:t>厂界距离</w:t>
                  </w:r>
                </w:p>
              </w:tc>
              <w:tc>
                <w:tcPr>
                  <w:tcW w:w="1560" w:type="dxa"/>
                  <w:gridSpan w:val="2"/>
                  <w:vAlign w:val="center"/>
                </w:tcPr>
                <w:p>
                  <w:pPr>
                    <w:autoSpaceDE w:val="0"/>
                    <w:autoSpaceDN w:val="0"/>
                    <w:jc w:val="center"/>
                  </w:pPr>
                  <w:r>
                    <w:t>坐标</w:t>
                  </w:r>
                </w:p>
              </w:tc>
              <w:tc>
                <w:tcPr>
                  <w:tcW w:w="1285" w:type="dxa"/>
                  <w:vMerge w:val="restart"/>
                  <w:vAlign w:val="center"/>
                </w:tcPr>
                <w:p>
                  <w:pPr>
                    <w:autoSpaceDE w:val="0"/>
                    <w:autoSpaceDN w:val="0"/>
                    <w:jc w:val="center"/>
                  </w:pPr>
                  <w:r>
                    <w:t>功能与规模</w:t>
                  </w:r>
                </w:p>
              </w:tc>
              <w:tc>
                <w:tcPr>
                  <w:tcW w:w="2265" w:type="dxa"/>
                  <w:vMerge w:val="restart"/>
                  <w:vAlign w:val="center"/>
                </w:tcPr>
                <w:p>
                  <w:pPr>
                    <w:autoSpaceDE w:val="0"/>
                    <w:autoSpaceDN w:val="0"/>
                    <w:jc w:val="center"/>
                  </w:pPr>
                  <w:r>
                    <w:t>保护级别</w:t>
                  </w:r>
                </w:p>
              </w:tc>
            </w:tr>
            <w:tr>
              <w:tblPrEx>
                <w:tblLayout w:type="fixed"/>
                <w:tblCellMar>
                  <w:top w:w="0" w:type="dxa"/>
                  <w:left w:w="0" w:type="dxa"/>
                  <w:bottom w:w="0" w:type="dxa"/>
                  <w:right w:w="0" w:type="dxa"/>
                </w:tblCellMar>
              </w:tblPrEx>
              <w:trPr>
                <w:trHeight w:val="180" w:hRule="atLeast"/>
              </w:trPr>
              <w:tc>
                <w:tcPr>
                  <w:tcW w:w="978" w:type="dxa"/>
                  <w:vMerge w:val="continue"/>
                  <w:vAlign w:val="center"/>
                </w:tcPr>
                <w:p>
                  <w:pPr>
                    <w:autoSpaceDE w:val="0"/>
                    <w:autoSpaceDN w:val="0"/>
                    <w:jc w:val="center"/>
                  </w:pPr>
                </w:p>
              </w:tc>
              <w:tc>
                <w:tcPr>
                  <w:tcW w:w="1559" w:type="dxa"/>
                  <w:vMerge w:val="continue"/>
                  <w:vAlign w:val="center"/>
                </w:tcPr>
                <w:p>
                  <w:pPr>
                    <w:autoSpaceDE w:val="0"/>
                    <w:autoSpaceDN w:val="0"/>
                    <w:jc w:val="center"/>
                  </w:pPr>
                </w:p>
              </w:tc>
              <w:tc>
                <w:tcPr>
                  <w:tcW w:w="1417" w:type="dxa"/>
                  <w:vMerge w:val="continue"/>
                  <w:vAlign w:val="center"/>
                </w:tcPr>
                <w:p>
                  <w:pPr>
                    <w:autoSpaceDE w:val="0"/>
                    <w:autoSpaceDN w:val="0"/>
                    <w:jc w:val="center"/>
                  </w:pPr>
                </w:p>
              </w:tc>
              <w:tc>
                <w:tcPr>
                  <w:tcW w:w="709" w:type="dxa"/>
                  <w:vAlign w:val="center"/>
                </w:tcPr>
                <w:p>
                  <w:pPr>
                    <w:autoSpaceDE w:val="0"/>
                    <w:autoSpaceDN w:val="0"/>
                    <w:jc w:val="center"/>
                  </w:pPr>
                  <w:r>
                    <w:t>X</w:t>
                  </w:r>
                </w:p>
              </w:tc>
              <w:tc>
                <w:tcPr>
                  <w:tcW w:w="851" w:type="dxa"/>
                  <w:vAlign w:val="center"/>
                </w:tcPr>
                <w:p>
                  <w:pPr>
                    <w:autoSpaceDE w:val="0"/>
                    <w:autoSpaceDN w:val="0"/>
                    <w:jc w:val="center"/>
                  </w:pPr>
                  <w:r>
                    <w:t>Y</w:t>
                  </w:r>
                </w:p>
              </w:tc>
              <w:tc>
                <w:tcPr>
                  <w:tcW w:w="1285" w:type="dxa"/>
                  <w:vMerge w:val="continue"/>
                  <w:vAlign w:val="center"/>
                </w:tcPr>
                <w:p>
                  <w:pPr>
                    <w:autoSpaceDE w:val="0"/>
                    <w:autoSpaceDN w:val="0"/>
                    <w:jc w:val="center"/>
                  </w:pPr>
                </w:p>
              </w:tc>
              <w:tc>
                <w:tcPr>
                  <w:tcW w:w="2265" w:type="dxa"/>
                  <w:vMerge w:val="continue"/>
                  <w:vAlign w:val="center"/>
                </w:tcPr>
                <w:p>
                  <w:pPr>
                    <w:autoSpaceDE w:val="0"/>
                    <w:autoSpaceDN w:val="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3" w:hRule="atLeast"/>
              </w:trPr>
              <w:tc>
                <w:tcPr>
                  <w:tcW w:w="978" w:type="dxa"/>
                  <w:vMerge w:val="restart"/>
                  <w:vAlign w:val="center"/>
                </w:tcPr>
                <w:p>
                  <w:pPr>
                    <w:autoSpaceDE w:val="0"/>
                    <w:autoSpaceDN w:val="0"/>
                    <w:jc w:val="center"/>
                  </w:pPr>
                  <w:r>
                    <w:t>声环境</w:t>
                  </w:r>
                </w:p>
              </w:tc>
              <w:tc>
                <w:tcPr>
                  <w:tcW w:w="1559" w:type="dxa"/>
                  <w:vAlign w:val="center"/>
                </w:tcPr>
                <w:p>
                  <w:pPr>
                    <w:autoSpaceDE w:val="0"/>
                    <w:autoSpaceDN w:val="0"/>
                    <w:adjustRightInd w:val="0"/>
                    <w:jc w:val="center"/>
                  </w:pPr>
                  <w:r>
                    <w:rPr>
                      <w:rFonts w:hint="eastAsia"/>
                      <w:lang w:val="zh-CN"/>
                    </w:rPr>
                    <w:t>平阳村居民</w:t>
                  </w:r>
                </w:p>
              </w:tc>
              <w:tc>
                <w:tcPr>
                  <w:tcW w:w="1417" w:type="dxa"/>
                  <w:vAlign w:val="center"/>
                </w:tcPr>
                <w:p>
                  <w:pPr>
                    <w:autoSpaceDE w:val="0"/>
                    <w:autoSpaceDN w:val="0"/>
                    <w:jc w:val="center"/>
                  </w:pPr>
                  <w:r>
                    <w:rPr>
                      <w:rFonts w:hint="eastAsia"/>
                    </w:rPr>
                    <w:t>E</w:t>
                  </w:r>
                  <w:r>
                    <w:rPr>
                      <w:rFonts w:hint="eastAsia"/>
                      <w:lang w:val="en-US" w:eastAsia="zh-CN"/>
                    </w:rPr>
                    <w:t>90</w:t>
                  </w:r>
                  <w:r>
                    <w:rPr>
                      <w:rFonts w:hint="eastAsia"/>
                    </w:rPr>
                    <w:t>-200</w:t>
                  </w:r>
                  <w:r>
                    <w:t>m</w:t>
                  </w:r>
                </w:p>
              </w:tc>
              <w:tc>
                <w:tcPr>
                  <w:tcW w:w="709" w:type="dxa"/>
                  <w:vAlign w:val="center"/>
                </w:tcPr>
                <w:p>
                  <w:pPr>
                    <w:autoSpaceDE w:val="0"/>
                    <w:autoSpaceDN w:val="0"/>
                    <w:adjustRightInd w:val="0"/>
                    <w:jc w:val="center"/>
                    <w:rPr>
                      <w:lang w:val="zh-CN"/>
                    </w:rPr>
                  </w:pPr>
                  <w:r>
                    <w:rPr>
                      <w:rFonts w:hint="eastAsia"/>
                      <w:lang w:val="en-US" w:eastAsia="zh-CN"/>
                    </w:rPr>
                    <w:t>120</w:t>
                  </w:r>
                </w:p>
              </w:tc>
              <w:tc>
                <w:tcPr>
                  <w:tcW w:w="851" w:type="dxa"/>
                  <w:vAlign w:val="center"/>
                </w:tcPr>
                <w:p>
                  <w:pPr>
                    <w:autoSpaceDE w:val="0"/>
                    <w:autoSpaceDN w:val="0"/>
                    <w:adjustRightInd w:val="0"/>
                    <w:jc w:val="center"/>
                    <w:rPr>
                      <w:lang w:val="zh-CN"/>
                    </w:rPr>
                  </w:pPr>
                  <w:r>
                    <w:rPr>
                      <w:rFonts w:hint="eastAsia"/>
                      <w:lang w:val="en-US" w:eastAsia="zh-CN"/>
                    </w:rPr>
                    <w:t>10</w:t>
                  </w:r>
                </w:p>
              </w:tc>
              <w:tc>
                <w:tcPr>
                  <w:tcW w:w="1285" w:type="dxa"/>
                  <w:vAlign w:val="center"/>
                </w:tcPr>
                <w:p>
                  <w:pPr>
                    <w:autoSpaceDE w:val="0"/>
                    <w:autoSpaceDN w:val="0"/>
                    <w:jc w:val="center"/>
                  </w:pPr>
                  <w:r>
                    <w:rPr>
                      <w:rFonts w:hint="eastAsia"/>
                    </w:rPr>
                    <w:t>住宅</w:t>
                  </w:r>
                </w:p>
              </w:tc>
              <w:tc>
                <w:tcPr>
                  <w:tcW w:w="2265" w:type="dxa"/>
                  <w:vMerge w:val="restart"/>
                  <w:vAlign w:val="center"/>
                </w:tcPr>
                <w:p>
                  <w:pPr>
                    <w:autoSpaceDE w:val="0"/>
                    <w:autoSpaceDN w:val="0"/>
                    <w:jc w:val="center"/>
                  </w:pPr>
                  <w:r>
                    <w:t>《声环境质量标准》（GB3096-2008）2类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3" w:hRule="atLeast"/>
              </w:trPr>
              <w:tc>
                <w:tcPr>
                  <w:tcW w:w="978" w:type="dxa"/>
                  <w:vMerge w:val="continue"/>
                  <w:vAlign w:val="center"/>
                </w:tcPr>
                <w:p>
                  <w:pPr>
                    <w:autoSpaceDE w:val="0"/>
                    <w:autoSpaceDN w:val="0"/>
                    <w:jc w:val="center"/>
                  </w:pPr>
                </w:p>
              </w:tc>
              <w:tc>
                <w:tcPr>
                  <w:tcW w:w="1559" w:type="dxa"/>
                  <w:vAlign w:val="center"/>
                </w:tcPr>
                <w:p>
                  <w:pPr>
                    <w:autoSpaceDE w:val="0"/>
                    <w:autoSpaceDN w:val="0"/>
                    <w:adjustRightInd w:val="0"/>
                    <w:jc w:val="center"/>
                  </w:pPr>
                  <w:r>
                    <w:rPr>
                      <w:rFonts w:hint="eastAsia"/>
                      <w:lang w:val="zh-CN"/>
                    </w:rPr>
                    <w:t>平阳村居民</w:t>
                  </w:r>
                </w:p>
              </w:tc>
              <w:tc>
                <w:tcPr>
                  <w:tcW w:w="1417" w:type="dxa"/>
                  <w:vAlign w:val="center"/>
                </w:tcPr>
                <w:p>
                  <w:pPr>
                    <w:autoSpaceDE w:val="0"/>
                    <w:autoSpaceDN w:val="0"/>
                    <w:jc w:val="center"/>
                  </w:pPr>
                  <w:r>
                    <w:rPr>
                      <w:rFonts w:hint="eastAsia"/>
                      <w:lang w:val="en-US" w:eastAsia="zh-CN"/>
                    </w:rPr>
                    <w:t>S58</w:t>
                  </w:r>
                  <w:r>
                    <w:rPr>
                      <w:lang w:val="zh-CN"/>
                    </w:rPr>
                    <w:t>-200m</w:t>
                  </w:r>
                </w:p>
              </w:tc>
              <w:tc>
                <w:tcPr>
                  <w:tcW w:w="709" w:type="dxa"/>
                  <w:vAlign w:val="center"/>
                </w:tcPr>
                <w:p>
                  <w:pPr>
                    <w:autoSpaceDE w:val="0"/>
                    <w:autoSpaceDN w:val="0"/>
                    <w:adjustRightInd w:val="0"/>
                    <w:jc w:val="center"/>
                    <w:rPr>
                      <w:lang w:val="zh-CN"/>
                    </w:rPr>
                  </w:pPr>
                  <w:r>
                    <w:rPr>
                      <w:rFonts w:hint="eastAsia"/>
                      <w:lang w:val="en-US" w:eastAsia="zh-CN"/>
                    </w:rPr>
                    <w:t>-16</w:t>
                  </w:r>
                </w:p>
              </w:tc>
              <w:tc>
                <w:tcPr>
                  <w:tcW w:w="851" w:type="dxa"/>
                  <w:vAlign w:val="center"/>
                </w:tcPr>
                <w:p>
                  <w:pPr>
                    <w:autoSpaceDE w:val="0"/>
                    <w:autoSpaceDN w:val="0"/>
                    <w:adjustRightInd w:val="0"/>
                    <w:jc w:val="center"/>
                    <w:rPr>
                      <w:lang w:val="zh-CN"/>
                    </w:rPr>
                  </w:pPr>
                  <w:r>
                    <w:rPr>
                      <w:rFonts w:hint="eastAsia"/>
                      <w:lang w:val="zh-CN"/>
                    </w:rPr>
                    <w:t>-</w:t>
                  </w:r>
                  <w:r>
                    <w:rPr>
                      <w:rFonts w:hint="eastAsia"/>
                      <w:lang w:val="en-US" w:eastAsia="zh-CN"/>
                    </w:rPr>
                    <w:t>53</w:t>
                  </w:r>
                </w:p>
              </w:tc>
              <w:tc>
                <w:tcPr>
                  <w:tcW w:w="1285" w:type="dxa"/>
                  <w:vAlign w:val="center"/>
                </w:tcPr>
                <w:p>
                  <w:pPr>
                    <w:autoSpaceDE w:val="0"/>
                    <w:autoSpaceDN w:val="0"/>
                    <w:jc w:val="center"/>
                  </w:pPr>
                  <w:r>
                    <w:rPr>
                      <w:rFonts w:hint="eastAsia"/>
                    </w:rPr>
                    <w:t>住宅</w:t>
                  </w:r>
                </w:p>
              </w:tc>
              <w:tc>
                <w:tcPr>
                  <w:tcW w:w="2265" w:type="dxa"/>
                  <w:vMerge w:val="continue"/>
                  <w:vAlign w:val="center"/>
                </w:tcPr>
                <w:p>
                  <w:pPr>
                    <w:autoSpaceDE w:val="0"/>
                    <w:autoSpaceDN w:val="0"/>
                    <w:jc w:val="center"/>
                  </w:pPr>
                </w:p>
              </w:tc>
            </w:tr>
            <w:tr>
              <w:tblPrEx>
                <w:tblLayout w:type="fixed"/>
                <w:tblCellMar>
                  <w:top w:w="0" w:type="dxa"/>
                  <w:left w:w="0" w:type="dxa"/>
                  <w:bottom w:w="0" w:type="dxa"/>
                  <w:right w:w="0" w:type="dxa"/>
                </w:tblCellMar>
              </w:tblPrEx>
              <w:trPr>
                <w:trHeight w:val="363" w:hRule="atLeast"/>
              </w:trPr>
              <w:tc>
                <w:tcPr>
                  <w:tcW w:w="978" w:type="dxa"/>
                  <w:vMerge w:val="continue"/>
                  <w:vAlign w:val="center"/>
                </w:tcPr>
                <w:p>
                  <w:pPr>
                    <w:autoSpaceDE w:val="0"/>
                    <w:autoSpaceDN w:val="0"/>
                    <w:jc w:val="center"/>
                  </w:pPr>
                </w:p>
              </w:tc>
              <w:tc>
                <w:tcPr>
                  <w:tcW w:w="1559" w:type="dxa"/>
                  <w:vAlign w:val="center"/>
                </w:tcPr>
                <w:p>
                  <w:pPr>
                    <w:autoSpaceDE w:val="0"/>
                    <w:autoSpaceDN w:val="0"/>
                    <w:adjustRightInd w:val="0"/>
                    <w:jc w:val="center"/>
                    <w:rPr>
                      <w:lang w:val="zh-CN"/>
                    </w:rPr>
                  </w:pPr>
                  <w:r>
                    <w:rPr>
                      <w:rFonts w:hint="eastAsia"/>
                      <w:lang w:val="zh-CN"/>
                    </w:rPr>
                    <w:t>平阳村居民</w:t>
                  </w:r>
                </w:p>
              </w:tc>
              <w:tc>
                <w:tcPr>
                  <w:tcW w:w="1417" w:type="dxa"/>
                  <w:vAlign w:val="center"/>
                </w:tcPr>
                <w:p>
                  <w:pPr>
                    <w:autoSpaceDE w:val="0"/>
                    <w:autoSpaceDN w:val="0"/>
                    <w:jc w:val="center"/>
                    <w:rPr>
                      <w:rFonts w:hint="eastAsia"/>
                      <w:lang w:val="en-US" w:eastAsia="zh-CN"/>
                    </w:rPr>
                  </w:pPr>
                  <w:r>
                    <w:rPr>
                      <w:rFonts w:hint="eastAsia"/>
                      <w:lang w:val="en-US" w:eastAsia="zh-CN"/>
                    </w:rPr>
                    <w:t>W30-200m</w:t>
                  </w:r>
                </w:p>
              </w:tc>
              <w:tc>
                <w:tcPr>
                  <w:tcW w:w="709" w:type="dxa"/>
                  <w:vAlign w:val="center"/>
                </w:tcPr>
                <w:p>
                  <w:pPr>
                    <w:autoSpaceDE w:val="0"/>
                    <w:autoSpaceDN w:val="0"/>
                    <w:adjustRightInd w:val="0"/>
                    <w:jc w:val="center"/>
                    <w:rPr>
                      <w:rFonts w:hint="eastAsia"/>
                      <w:lang w:val="zh-CN"/>
                    </w:rPr>
                  </w:pPr>
                  <w:r>
                    <w:rPr>
                      <w:rFonts w:hint="eastAsia"/>
                      <w:lang w:val="en-US" w:eastAsia="zh-CN"/>
                    </w:rPr>
                    <w:t>-63</w:t>
                  </w:r>
                </w:p>
              </w:tc>
              <w:tc>
                <w:tcPr>
                  <w:tcW w:w="851" w:type="dxa"/>
                  <w:vAlign w:val="center"/>
                </w:tcPr>
                <w:p>
                  <w:pPr>
                    <w:autoSpaceDE w:val="0"/>
                    <w:autoSpaceDN w:val="0"/>
                    <w:adjustRightInd w:val="0"/>
                    <w:jc w:val="center"/>
                    <w:rPr>
                      <w:rFonts w:hint="eastAsia"/>
                      <w:lang w:val="zh-CN"/>
                    </w:rPr>
                  </w:pPr>
                  <w:r>
                    <w:rPr>
                      <w:rFonts w:hint="eastAsia"/>
                      <w:lang w:val="en-US" w:eastAsia="zh-CN"/>
                    </w:rPr>
                    <w:t>0</w:t>
                  </w:r>
                </w:p>
              </w:tc>
              <w:tc>
                <w:tcPr>
                  <w:tcW w:w="1285" w:type="dxa"/>
                  <w:vAlign w:val="center"/>
                </w:tcPr>
                <w:p>
                  <w:pPr>
                    <w:autoSpaceDE w:val="0"/>
                    <w:autoSpaceDN w:val="0"/>
                    <w:jc w:val="center"/>
                    <w:rPr>
                      <w:rFonts w:hint="eastAsia"/>
                    </w:rPr>
                  </w:pPr>
                  <w:r>
                    <w:rPr>
                      <w:rFonts w:hint="eastAsia"/>
                    </w:rPr>
                    <w:t>住宅</w:t>
                  </w:r>
                </w:p>
              </w:tc>
              <w:tc>
                <w:tcPr>
                  <w:tcW w:w="2265" w:type="dxa"/>
                  <w:vAlign w:val="center"/>
                </w:tcPr>
                <w:p>
                  <w:pPr>
                    <w:autoSpaceDE w:val="0"/>
                    <w:autoSpaceDN w:val="0"/>
                    <w:jc w:val="center"/>
                  </w:pPr>
                </w:p>
              </w:tc>
            </w:tr>
            <w:tr>
              <w:tblPrEx>
                <w:tblLayout w:type="fixed"/>
                <w:tblCellMar>
                  <w:top w:w="0" w:type="dxa"/>
                  <w:left w:w="0" w:type="dxa"/>
                  <w:bottom w:w="0" w:type="dxa"/>
                  <w:right w:w="0" w:type="dxa"/>
                </w:tblCellMar>
              </w:tblPrEx>
              <w:trPr>
                <w:trHeight w:val="363" w:hRule="atLeast"/>
              </w:trPr>
              <w:tc>
                <w:tcPr>
                  <w:tcW w:w="978" w:type="dxa"/>
                  <w:vMerge w:val="continue"/>
                  <w:vAlign w:val="center"/>
                </w:tcPr>
                <w:p>
                  <w:pPr>
                    <w:autoSpaceDE w:val="0"/>
                    <w:autoSpaceDN w:val="0"/>
                    <w:jc w:val="center"/>
                  </w:pPr>
                </w:p>
              </w:tc>
              <w:tc>
                <w:tcPr>
                  <w:tcW w:w="1559" w:type="dxa"/>
                  <w:vAlign w:val="center"/>
                </w:tcPr>
                <w:p>
                  <w:pPr>
                    <w:autoSpaceDE w:val="0"/>
                    <w:autoSpaceDN w:val="0"/>
                    <w:adjustRightInd w:val="0"/>
                    <w:jc w:val="center"/>
                    <w:rPr>
                      <w:lang w:val="zh-CN"/>
                    </w:rPr>
                  </w:pPr>
                  <w:r>
                    <w:rPr>
                      <w:rFonts w:hint="eastAsia"/>
                      <w:lang w:val="zh-CN"/>
                    </w:rPr>
                    <w:t>平阳村居民</w:t>
                  </w:r>
                </w:p>
              </w:tc>
              <w:tc>
                <w:tcPr>
                  <w:tcW w:w="1417" w:type="dxa"/>
                  <w:vAlign w:val="center"/>
                </w:tcPr>
                <w:p>
                  <w:pPr>
                    <w:autoSpaceDE w:val="0"/>
                    <w:autoSpaceDN w:val="0"/>
                    <w:jc w:val="center"/>
                    <w:rPr>
                      <w:rFonts w:hint="eastAsia"/>
                      <w:lang w:val="en-US" w:eastAsia="zh-CN"/>
                    </w:rPr>
                  </w:pPr>
                  <w:r>
                    <w:rPr>
                      <w:rFonts w:hint="eastAsia"/>
                      <w:lang w:val="en-US" w:eastAsia="zh-CN"/>
                    </w:rPr>
                    <w:t>N20-200m</w:t>
                  </w:r>
                </w:p>
              </w:tc>
              <w:tc>
                <w:tcPr>
                  <w:tcW w:w="709" w:type="dxa"/>
                  <w:vAlign w:val="center"/>
                </w:tcPr>
                <w:p>
                  <w:pPr>
                    <w:autoSpaceDE w:val="0"/>
                    <w:autoSpaceDN w:val="0"/>
                    <w:adjustRightInd w:val="0"/>
                    <w:jc w:val="center"/>
                    <w:rPr>
                      <w:rFonts w:hint="eastAsia"/>
                      <w:lang w:val="zh-CN"/>
                    </w:rPr>
                  </w:pPr>
                  <w:r>
                    <w:rPr>
                      <w:rFonts w:hint="eastAsia"/>
                      <w:lang w:val="zh-CN"/>
                    </w:rPr>
                    <w:t>-</w:t>
                  </w:r>
                  <w:r>
                    <w:rPr>
                      <w:rFonts w:hint="eastAsia"/>
                      <w:lang w:val="en-US" w:eastAsia="zh-CN"/>
                    </w:rPr>
                    <w:t>40</w:t>
                  </w:r>
                </w:p>
              </w:tc>
              <w:tc>
                <w:tcPr>
                  <w:tcW w:w="851" w:type="dxa"/>
                  <w:vAlign w:val="center"/>
                </w:tcPr>
                <w:p>
                  <w:pPr>
                    <w:autoSpaceDE w:val="0"/>
                    <w:autoSpaceDN w:val="0"/>
                    <w:adjustRightInd w:val="0"/>
                    <w:jc w:val="center"/>
                    <w:rPr>
                      <w:rFonts w:hint="eastAsia"/>
                      <w:lang w:val="zh-CN"/>
                    </w:rPr>
                  </w:pPr>
                  <w:r>
                    <w:rPr>
                      <w:rFonts w:hint="eastAsia"/>
                      <w:lang w:val="en-US" w:eastAsia="zh-CN"/>
                    </w:rPr>
                    <w:t>15</w:t>
                  </w:r>
                </w:p>
              </w:tc>
              <w:tc>
                <w:tcPr>
                  <w:tcW w:w="1285" w:type="dxa"/>
                  <w:vAlign w:val="center"/>
                </w:tcPr>
                <w:p>
                  <w:pPr>
                    <w:autoSpaceDE w:val="0"/>
                    <w:autoSpaceDN w:val="0"/>
                    <w:jc w:val="center"/>
                    <w:rPr>
                      <w:rFonts w:hint="eastAsia"/>
                    </w:rPr>
                  </w:pPr>
                  <w:r>
                    <w:rPr>
                      <w:rFonts w:hint="eastAsia"/>
                    </w:rPr>
                    <w:t>住宅</w:t>
                  </w:r>
                </w:p>
              </w:tc>
              <w:tc>
                <w:tcPr>
                  <w:tcW w:w="2265" w:type="dxa"/>
                  <w:vAlign w:val="center"/>
                </w:tcPr>
                <w:p>
                  <w:pPr>
                    <w:autoSpaceDE w:val="0"/>
                    <w:autoSpaceDN w:val="0"/>
                    <w:jc w:val="center"/>
                  </w:pPr>
                </w:p>
              </w:tc>
            </w:tr>
          </w:tbl>
          <w:p>
            <w:pPr>
              <w:pStyle w:val="12"/>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tc>
      </w:t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pPr>
        <w:pStyle w:val="100"/>
        <w:spacing w:before="0" w:after="0"/>
        <w:jc w:val="both"/>
        <w:rPr>
          <w:color w:val="auto"/>
          <w:sz w:val="30"/>
          <w:szCs w:val="30"/>
        </w:rPr>
      </w:pPr>
      <w:bookmarkStart w:id="38" w:name="_Toc514143748"/>
      <w:bookmarkStart w:id="39" w:name="_Toc457203515"/>
      <w:r>
        <w:rPr>
          <w:color w:val="auto"/>
          <w:sz w:val="30"/>
          <w:szCs w:val="30"/>
        </w:rPr>
        <w:t>四、评价适用标准</w:t>
      </w:r>
      <w:bookmarkEnd w:id="23"/>
      <w:bookmarkEnd w:id="24"/>
      <w:bookmarkEnd w:id="25"/>
      <w:bookmarkEnd w:id="38"/>
      <w:bookmarkEnd w:id="39"/>
    </w:p>
    <w:tbl>
      <w:tblPr>
        <w:tblStyle w:val="38"/>
        <w:tblW w:w="93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86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1" w:hRule="atLeast"/>
          <w:jc w:val="center"/>
        </w:trPr>
        <w:tc>
          <w:tcPr>
            <w:tcW w:w="675" w:type="dxa"/>
            <w:vAlign w:val="center"/>
          </w:tcPr>
          <w:p>
            <w:pPr>
              <w:adjustRightInd w:val="0"/>
              <w:snapToGrid w:val="0"/>
              <w:jc w:val="center"/>
              <w:rPr>
                <w:sz w:val="24"/>
              </w:rPr>
            </w:pPr>
            <w:r>
              <w:rPr>
                <w:sz w:val="24"/>
              </w:rPr>
              <w:t>质</w:t>
            </w:r>
          </w:p>
          <w:p>
            <w:pPr>
              <w:adjustRightInd w:val="0"/>
              <w:snapToGrid w:val="0"/>
              <w:jc w:val="center"/>
              <w:rPr>
                <w:sz w:val="24"/>
              </w:rPr>
            </w:pPr>
            <w:r>
              <w:rPr>
                <w:sz w:val="24"/>
              </w:rPr>
              <w:t>量</w:t>
            </w:r>
          </w:p>
          <w:p>
            <w:pPr>
              <w:adjustRightInd w:val="0"/>
              <w:snapToGrid w:val="0"/>
              <w:jc w:val="center"/>
              <w:rPr>
                <w:sz w:val="24"/>
              </w:rPr>
            </w:pPr>
            <w:r>
              <w:rPr>
                <w:sz w:val="24"/>
              </w:rPr>
              <w:t>标</w:t>
            </w:r>
          </w:p>
          <w:p>
            <w:pPr>
              <w:adjustRightInd w:val="0"/>
              <w:snapToGrid w:val="0"/>
              <w:jc w:val="center"/>
              <w:rPr>
                <w:sz w:val="24"/>
              </w:rPr>
            </w:pPr>
            <w:r>
              <w:rPr>
                <w:sz w:val="24"/>
              </w:rPr>
              <w:t>准</w:t>
            </w:r>
          </w:p>
        </w:tc>
        <w:tc>
          <w:tcPr>
            <w:tcW w:w="8635" w:type="dxa"/>
            <w:vAlign w:val="center"/>
          </w:tcPr>
          <w:p>
            <w:pPr>
              <w:spacing w:line="360" w:lineRule="auto"/>
              <w:rPr>
                <w:b/>
                <w:sz w:val="24"/>
              </w:rPr>
            </w:pPr>
            <w:r>
              <w:rPr>
                <w:b/>
                <w:sz w:val="24"/>
              </w:rPr>
              <w:t>1、环境空气</w:t>
            </w:r>
          </w:p>
          <w:p>
            <w:pPr>
              <w:spacing w:line="360" w:lineRule="auto"/>
              <w:rPr>
                <w:sz w:val="24"/>
              </w:rPr>
            </w:pPr>
            <w:r>
              <w:rPr>
                <w:sz w:val="24"/>
              </w:rPr>
              <w:t>评价范围内环境空气执行《环境空气质量标准》（GB3095-2012）中二级标准。</w:t>
            </w:r>
          </w:p>
          <w:p>
            <w:pPr>
              <w:jc w:val="center"/>
              <w:rPr>
                <w:sz w:val="24"/>
              </w:rPr>
            </w:pPr>
            <w:r>
              <w:rPr>
                <w:b/>
                <w:bCs/>
                <w:szCs w:val="21"/>
              </w:rPr>
              <w:t>表4-1  环境空气质量标准  单位：mg/m</w:t>
            </w:r>
            <w:r>
              <w:rPr>
                <w:b/>
                <w:bCs/>
                <w:szCs w:val="21"/>
                <w:vertAlign w:val="superscript"/>
              </w:rPr>
              <w:t>3</w:t>
            </w:r>
          </w:p>
          <w:tbl>
            <w:tblPr>
              <w:tblStyle w:val="38"/>
              <w:tblW w:w="838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030"/>
              <w:gridCol w:w="1178"/>
              <w:gridCol w:w="1893"/>
              <w:gridCol w:w="1275"/>
              <w:gridCol w:w="2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738" w:type="dxa"/>
                  <w:vMerge w:val="restart"/>
                  <w:vAlign w:val="center"/>
                </w:tcPr>
                <w:p>
                  <w:pPr>
                    <w:jc w:val="center"/>
                    <w:rPr>
                      <w:szCs w:val="21"/>
                    </w:rPr>
                  </w:pPr>
                  <w:r>
                    <w:rPr>
                      <w:szCs w:val="21"/>
                    </w:rPr>
                    <w:t>序号</w:t>
                  </w:r>
                </w:p>
              </w:tc>
              <w:tc>
                <w:tcPr>
                  <w:tcW w:w="1030" w:type="dxa"/>
                  <w:vMerge w:val="restart"/>
                  <w:vAlign w:val="center"/>
                </w:tcPr>
                <w:p>
                  <w:pPr>
                    <w:jc w:val="center"/>
                    <w:rPr>
                      <w:szCs w:val="21"/>
                    </w:rPr>
                  </w:pPr>
                  <w:r>
                    <w:rPr>
                      <w:szCs w:val="21"/>
                    </w:rPr>
                    <w:t>污染物</w:t>
                  </w:r>
                </w:p>
              </w:tc>
              <w:tc>
                <w:tcPr>
                  <w:tcW w:w="4346" w:type="dxa"/>
                  <w:gridSpan w:val="3"/>
                  <w:vAlign w:val="center"/>
                </w:tcPr>
                <w:p>
                  <w:pPr>
                    <w:jc w:val="center"/>
                    <w:rPr>
                      <w:szCs w:val="21"/>
                    </w:rPr>
                  </w:pPr>
                  <w:r>
                    <w:rPr>
                      <w:szCs w:val="21"/>
                    </w:rPr>
                    <w:t>浓度限值</w:t>
                  </w:r>
                </w:p>
              </w:tc>
              <w:tc>
                <w:tcPr>
                  <w:tcW w:w="2275" w:type="dxa"/>
                  <w:vMerge w:val="restart"/>
                  <w:vAlign w:val="center"/>
                </w:tcPr>
                <w:p>
                  <w:pPr>
                    <w:jc w:val="center"/>
                    <w:rPr>
                      <w:szCs w:val="21"/>
                    </w:rPr>
                  </w:pPr>
                  <w:r>
                    <w:rPr>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738" w:type="dxa"/>
                  <w:vMerge w:val="continue"/>
                  <w:vAlign w:val="center"/>
                </w:tcPr>
                <w:p>
                  <w:pPr>
                    <w:jc w:val="center"/>
                    <w:rPr>
                      <w:szCs w:val="21"/>
                    </w:rPr>
                  </w:pPr>
                </w:p>
              </w:tc>
              <w:tc>
                <w:tcPr>
                  <w:tcW w:w="1030" w:type="dxa"/>
                  <w:vMerge w:val="continue"/>
                  <w:vAlign w:val="center"/>
                </w:tcPr>
                <w:p>
                  <w:pPr>
                    <w:jc w:val="center"/>
                    <w:rPr>
                      <w:szCs w:val="21"/>
                    </w:rPr>
                  </w:pPr>
                </w:p>
              </w:tc>
              <w:tc>
                <w:tcPr>
                  <w:tcW w:w="1178" w:type="dxa"/>
                  <w:vAlign w:val="center"/>
                </w:tcPr>
                <w:p>
                  <w:pPr>
                    <w:jc w:val="center"/>
                    <w:rPr>
                      <w:szCs w:val="21"/>
                    </w:rPr>
                  </w:pPr>
                  <w:r>
                    <w:rPr>
                      <w:szCs w:val="21"/>
                    </w:rPr>
                    <w:t>小时平均</w:t>
                  </w:r>
                </w:p>
              </w:tc>
              <w:tc>
                <w:tcPr>
                  <w:tcW w:w="1893" w:type="dxa"/>
                  <w:vAlign w:val="center"/>
                </w:tcPr>
                <w:p>
                  <w:pPr>
                    <w:jc w:val="center"/>
                    <w:rPr>
                      <w:szCs w:val="21"/>
                    </w:rPr>
                  </w:pPr>
                  <w:r>
                    <w:rPr>
                      <w:szCs w:val="21"/>
                    </w:rPr>
                    <w:t>日平均</w:t>
                  </w:r>
                </w:p>
              </w:tc>
              <w:tc>
                <w:tcPr>
                  <w:tcW w:w="1275" w:type="dxa"/>
                  <w:vAlign w:val="center"/>
                </w:tcPr>
                <w:p>
                  <w:pPr>
                    <w:jc w:val="center"/>
                    <w:rPr>
                      <w:szCs w:val="21"/>
                    </w:rPr>
                  </w:pPr>
                  <w:r>
                    <w:rPr>
                      <w:szCs w:val="21"/>
                    </w:rPr>
                    <w:t>年平均</w:t>
                  </w:r>
                </w:p>
              </w:tc>
              <w:tc>
                <w:tcPr>
                  <w:tcW w:w="2275"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738" w:type="dxa"/>
                  <w:vAlign w:val="center"/>
                </w:tcPr>
                <w:p>
                  <w:pPr>
                    <w:jc w:val="center"/>
                    <w:rPr>
                      <w:szCs w:val="21"/>
                    </w:rPr>
                  </w:pPr>
                  <w:r>
                    <w:rPr>
                      <w:szCs w:val="21"/>
                    </w:rPr>
                    <w:t>1</w:t>
                  </w:r>
                </w:p>
              </w:tc>
              <w:tc>
                <w:tcPr>
                  <w:tcW w:w="1030" w:type="dxa"/>
                  <w:vAlign w:val="center"/>
                </w:tcPr>
                <w:p>
                  <w:pPr>
                    <w:jc w:val="center"/>
                    <w:rPr>
                      <w:szCs w:val="21"/>
                    </w:rPr>
                  </w:pPr>
                  <w:r>
                    <w:rPr>
                      <w:szCs w:val="21"/>
                    </w:rPr>
                    <w:t>PM</w:t>
                  </w:r>
                  <w:r>
                    <w:rPr>
                      <w:szCs w:val="21"/>
                      <w:vertAlign w:val="subscript"/>
                    </w:rPr>
                    <w:t>2.5</w:t>
                  </w:r>
                </w:p>
              </w:tc>
              <w:tc>
                <w:tcPr>
                  <w:tcW w:w="1178" w:type="dxa"/>
                  <w:vAlign w:val="center"/>
                </w:tcPr>
                <w:p>
                  <w:pPr>
                    <w:jc w:val="center"/>
                    <w:rPr>
                      <w:szCs w:val="21"/>
                    </w:rPr>
                  </w:pPr>
                  <w:r>
                    <w:rPr>
                      <w:szCs w:val="21"/>
                    </w:rPr>
                    <w:t>-</w:t>
                  </w:r>
                </w:p>
              </w:tc>
              <w:tc>
                <w:tcPr>
                  <w:tcW w:w="1893" w:type="dxa"/>
                  <w:vAlign w:val="center"/>
                </w:tcPr>
                <w:p>
                  <w:pPr>
                    <w:jc w:val="center"/>
                    <w:rPr>
                      <w:szCs w:val="21"/>
                    </w:rPr>
                  </w:pPr>
                  <w:r>
                    <w:rPr>
                      <w:szCs w:val="21"/>
                    </w:rPr>
                    <w:t>0.075</w:t>
                  </w:r>
                </w:p>
              </w:tc>
              <w:tc>
                <w:tcPr>
                  <w:tcW w:w="1275" w:type="dxa"/>
                  <w:vAlign w:val="center"/>
                </w:tcPr>
                <w:p>
                  <w:pPr>
                    <w:jc w:val="center"/>
                    <w:rPr>
                      <w:szCs w:val="21"/>
                    </w:rPr>
                  </w:pPr>
                  <w:r>
                    <w:rPr>
                      <w:szCs w:val="21"/>
                    </w:rPr>
                    <w:t>0.035</w:t>
                  </w:r>
                </w:p>
              </w:tc>
              <w:tc>
                <w:tcPr>
                  <w:tcW w:w="2275" w:type="dxa"/>
                  <w:vMerge w:val="restart"/>
                  <w:vAlign w:val="center"/>
                </w:tcPr>
                <w:p>
                  <w:pPr>
                    <w:jc w:val="center"/>
                    <w:rPr>
                      <w:szCs w:val="21"/>
                    </w:rPr>
                  </w:pPr>
                  <w:r>
                    <w:rPr>
                      <w:szCs w:val="21"/>
                    </w:rPr>
                    <w:t>环境空气质量标准《GB3095-2012》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738" w:type="dxa"/>
                  <w:vAlign w:val="center"/>
                </w:tcPr>
                <w:p>
                  <w:pPr>
                    <w:jc w:val="center"/>
                    <w:rPr>
                      <w:szCs w:val="21"/>
                    </w:rPr>
                  </w:pPr>
                  <w:r>
                    <w:rPr>
                      <w:szCs w:val="21"/>
                    </w:rPr>
                    <w:t>2</w:t>
                  </w:r>
                </w:p>
              </w:tc>
              <w:tc>
                <w:tcPr>
                  <w:tcW w:w="1030" w:type="dxa"/>
                  <w:vAlign w:val="center"/>
                </w:tcPr>
                <w:p>
                  <w:pPr>
                    <w:jc w:val="center"/>
                    <w:rPr>
                      <w:szCs w:val="21"/>
                    </w:rPr>
                  </w:pPr>
                  <w:r>
                    <w:rPr>
                      <w:szCs w:val="21"/>
                    </w:rPr>
                    <w:t>PM</w:t>
                  </w:r>
                  <w:r>
                    <w:rPr>
                      <w:szCs w:val="21"/>
                      <w:vertAlign w:val="subscript"/>
                    </w:rPr>
                    <w:t>10</w:t>
                  </w:r>
                </w:p>
              </w:tc>
              <w:tc>
                <w:tcPr>
                  <w:tcW w:w="1178" w:type="dxa"/>
                  <w:vAlign w:val="center"/>
                </w:tcPr>
                <w:p>
                  <w:pPr>
                    <w:jc w:val="center"/>
                    <w:rPr>
                      <w:szCs w:val="21"/>
                    </w:rPr>
                  </w:pPr>
                  <w:r>
                    <w:rPr>
                      <w:szCs w:val="21"/>
                    </w:rPr>
                    <w:t>-</w:t>
                  </w:r>
                </w:p>
              </w:tc>
              <w:tc>
                <w:tcPr>
                  <w:tcW w:w="1893" w:type="dxa"/>
                  <w:vAlign w:val="center"/>
                </w:tcPr>
                <w:p>
                  <w:pPr>
                    <w:jc w:val="center"/>
                    <w:rPr>
                      <w:szCs w:val="21"/>
                    </w:rPr>
                  </w:pPr>
                  <w:r>
                    <w:rPr>
                      <w:szCs w:val="21"/>
                    </w:rPr>
                    <w:t>0.15</w:t>
                  </w:r>
                </w:p>
              </w:tc>
              <w:tc>
                <w:tcPr>
                  <w:tcW w:w="1275" w:type="dxa"/>
                  <w:vAlign w:val="center"/>
                </w:tcPr>
                <w:p>
                  <w:pPr>
                    <w:jc w:val="center"/>
                    <w:rPr>
                      <w:szCs w:val="21"/>
                    </w:rPr>
                  </w:pPr>
                  <w:r>
                    <w:rPr>
                      <w:szCs w:val="21"/>
                    </w:rPr>
                    <w:t>0.07</w:t>
                  </w:r>
                </w:p>
              </w:tc>
              <w:tc>
                <w:tcPr>
                  <w:tcW w:w="2275"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738" w:type="dxa"/>
                  <w:vAlign w:val="center"/>
                </w:tcPr>
                <w:p>
                  <w:pPr>
                    <w:jc w:val="center"/>
                    <w:rPr>
                      <w:szCs w:val="21"/>
                    </w:rPr>
                  </w:pPr>
                  <w:r>
                    <w:rPr>
                      <w:szCs w:val="21"/>
                    </w:rPr>
                    <w:t>3</w:t>
                  </w:r>
                </w:p>
              </w:tc>
              <w:tc>
                <w:tcPr>
                  <w:tcW w:w="1030" w:type="dxa"/>
                  <w:vAlign w:val="center"/>
                </w:tcPr>
                <w:p>
                  <w:pPr>
                    <w:jc w:val="center"/>
                    <w:rPr>
                      <w:szCs w:val="21"/>
                    </w:rPr>
                  </w:pPr>
                  <w:r>
                    <w:rPr>
                      <w:szCs w:val="21"/>
                    </w:rPr>
                    <w:t>NO</w:t>
                  </w:r>
                  <w:r>
                    <w:rPr>
                      <w:szCs w:val="21"/>
                      <w:vertAlign w:val="subscript"/>
                    </w:rPr>
                    <w:t>x</w:t>
                  </w:r>
                </w:p>
              </w:tc>
              <w:tc>
                <w:tcPr>
                  <w:tcW w:w="1178" w:type="dxa"/>
                  <w:vAlign w:val="center"/>
                </w:tcPr>
                <w:p>
                  <w:pPr>
                    <w:jc w:val="center"/>
                    <w:rPr>
                      <w:szCs w:val="21"/>
                    </w:rPr>
                  </w:pPr>
                  <w:r>
                    <w:rPr>
                      <w:szCs w:val="21"/>
                    </w:rPr>
                    <w:t>0.2</w:t>
                  </w:r>
                </w:p>
              </w:tc>
              <w:tc>
                <w:tcPr>
                  <w:tcW w:w="1893" w:type="dxa"/>
                  <w:vAlign w:val="center"/>
                </w:tcPr>
                <w:p>
                  <w:pPr>
                    <w:jc w:val="center"/>
                    <w:rPr>
                      <w:szCs w:val="21"/>
                    </w:rPr>
                  </w:pPr>
                  <w:r>
                    <w:rPr>
                      <w:szCs w:val="21"/>
                    </w:rPr>
                    <w:t>0.08</w:t>
                  </w:r>
                </w:p>
              </w:tc>
              <w:tc>
                <w:tcPr>
                  <w:tcW w:w="1275" w:type="dxa"/>
                  <w:vAlign w:val="center"/>
                </w:tcPr>
                <w:p>
                  <w:pPr>
                    <w:jc w:val="center"/>
                    <w:rPr>
                      <w:szCs w:val="21"/>
                    </w:rPr>
                  </w:pPr>
                  <w:r>
                    <w:rPr>
                      <w:szCs w:val="21"/>
                    </w:rPr>
                    <w:t>0.04</w:t>
                  </w:r>
                </w:p>
              </w:tc>
              <w:tc>
                <w:tcPr>
                  <w:tcW w:w="2275"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738" w:type="dxa"/>
                  <w:vAlign w:val="center"/>
                </w:tcPr>
                <w:p>
                  <w:pPr>
                    <w:jc w:val="center"/>
                    <w:rPr>
                      <w:szCs w:val="21"/>
                    </w:rPr>
                  </w:pPr>
                  <w:r>
                    <w:rPr>
                      <w:szCs w:val="21"/>
                    </w:rPr>
                    <w:t>4</w:t>
                  </w:r>
                </w:p>
              </w:tc>
              <w:tc>
                <w:tcPr>
                  <w:tcW w:w="1030" w:type="dxa"/>
                  <w:vAlign w:val="center"/>
                </w:tcPr>
                <w:p>
                  <w:pPr>
                    <w:jc w:val="center"/>
                    <w:rPr>
                      <w:szCs w:val="21"/>
                      <w:vertAlign w:val="subscript"/>
                    </w:rPr>
                  </w:pPr>
                  <w:r>
                    <w:rPr>
                      <w:szCs w:val="21"/>
                    </w:rPr>
                    <w:t>SO</w:t>
                  </w:r>
                  <w:r>
                    <w:rPr>
                      <w:szCs w:val="21"/>
                      <w:vertAlign w:val="subscript"/>
                    </w:rPr>
                    <w:t>2</w:t>
                  </w:r>
                </w:p>
              </w:tc>
              <w:tc>
                <w:tcPr>
                  <w:tcW w:w="1178" w:type="dxa"/>
                  <w:vAlign w:val="center"/>
                </w:tcPr>
                <w:p>
                  <w:pPr>
                    <w:jc w:val="center"/>
                    <w:rPr>
                      <w:szCs w:val="21"/>
                    </w:rPr>
                  </w:pPr>
                  <w:r>
                    <w:rPr>
                      <w:szCs w:val="21"/>
                    </w:rPr>
                    <w:t>0.5</w:t>
                  </w:r>
                </w:p>
              </w:tc>
              <w:tc>
                <w:tcPr>
                  <w:tcW w:w="1893" w:type="dxa"/>
                  <w:vAlign w:val="center"/>
                </w:tcPr>
                <w:p>
                  <w:pPr>
                    <w:jc w:val="center"/>
                    <w:rPr>
                      <w:szCs w:val="21"/>
                    </w:rPr>
                  </w:pPr>
                  <w:r>
                    <w:rPr>
                      <w:szCs w:val="21"/>
                    </w:rPr>
                    <w:t>0.15</w:t>
                  </w:r>
                </w:p>
              </w:tc>
              <w:tc>
                <w:tcPr>
                  <w:tcW w:w="1275" w:type="dxa"/>
                  <w:vAlign w:val="center"/>
                </w:tcPr>
                <w:p>
                  <w:pPr>
                    <w:jc w:val="center"/>
                    <w:rPr>
                      <w:szCs w:val="21"/>
                    </w:rPr>
                  </w:pPr>
                  <w:r>
                    <w:rPr>
                      <w:szCs w:val="21"/>
                    </w:rPr>
                    <w:t>0.06</w:t>
                  </w:r>
                </w:p>
              </w:tc>
              <w:tc>
                <w:tcPr>
                  <w:tcW w:w="2275"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738" w:type="dxa"/>
                  <w:vAlign w:val="center"/>
                </w:tcPr>
                <w:p>
                  <w:pPr>
                    <w:jc w:val="center"/>
                    <w:rPr>
                      <w:szCs w:val="21"/>
                    </w:rPr>
                  </w:pPr>
                  <w:r>
                    <w:rPr>
                      <w:szCs w:val="21"/>
                    </w:rPr>
                    <w:t>5</w:t>
                  </w:r>
                </w:p>
              </w:tc>
              <w:tc>
                <w:tcPr>
                  <w:tcW w:w="1030" w:type="dxa"/>
                  <w:vAlign w:val="center"/>
                </w:tcPr>
                <w:p>
                  <w:pPr>
                    <w:jc w:val="center"/>
                    <w:rPr>
                      <w:szCs w:val="21"/>
                    </w:rPr>
                  </w:pPr>
                  <w:r>
                    <w:rPr>
                      <w:szCs w:val="21"/>
                    </w:rPr>
                    <w:t>CO</w:t>
                  </w:r>
                </w:p>
              </w:tc>
              <w:tc>
                <w:tcPr>
                  <w:tcW w:w="1178" w:type="dxa"/>
                  <w:vAlign w:val="center"/>
                </w:tcPr>
                <w:p>
                  <w:pPr>
                    <w:jc w:val="center"/>
                    <w:rPr>
                      <w:szCs w:val="21"/>
                    </w:rPr>
                  </w:pPr>
                  <w:r>
                    <w:rPr>
                      <w:szCs w:val="21"/>
                    </w:rPr>
                    <w:t>10</w:t>
                  </w:r>
                </w:p>
              </w:tc>
              <w:tc>
                <w:tcPr>
                  <w:tcW w:w="1893" w:type="dxa"/>
                  <w:vAlign w:val="center"/>
                </w:tcPr>
                <w:p>
                  <w:pPr>
                    <w:jc w:val="center"/>
                    <w:rPr>
                      <w:szCs w:val="21"/>
                    </w:rPr>
                  </w:pPr>
                  <w:r>
                    <w:rPr>
                      <w:szCs w:val="21"/>
                    </w:rPr>
                    <w:t>4</w:t>
                  </w:r>
                </w:p>
              </w:tc>
              <w:tc>
                <w:tcPr>
                  <w:tcW w:w="1275" w:type="dxa"/>
                  <w:vAlign w:val="center"/>
                </w:tcPr>
                <w:p>
                  <w:pPr>
                    <w:jc w:val="center"/>
                    <w:rPr>
                      <w:szCs w:val="21"/>
                    </w:rPr>
                  </w:pPr>
                  <w:r>
                    <w:rPr>
                      <w:szCs w:val="21"/>
                    </w:rPr>
                    <w:t>-</w:t>
                  </w:r>
                </w:p>
              </w:tc>
              <w:tc>
                <w:tcPr>
                  <w:tcW w:w="2275"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738" w:type="dxa"/>
                  <w:vAlign w:val="center"/>
                </w:tcPr>
                <w:p>
                  <w:pPr>
                    <w:jc w:val="center"/>
                    <w:rPr>
                      <w:szCs w:val="21"/>
                    </w:rPr>
                  </w:pPr>
                  <w:r>
                    <w:rPr>
                      <w:szCs w:val="21"/>
                    </w:rPr>
                    <w:t>6</w:t>
                  </w:r>
                </w:p>
              </w:tc>
              <w:tc>
                <w:tcPr>
                  <w:tcW w:w="1030" w:type="dxa"/>
                  <w:vAlign w:val="center"/>
                </w:tcPr>
                <w:p>
                  <w:pPr>
                    <w:jc w:val="center"/>
                    <w:rPr>
                      <w:szCs w:val="21"/>
                    </w:rPr>
                  </w:pPr>
                  <w:r>
                    <w:rPr>
                      <w:szCs w:val="21"/>
                    </w:rPr>
                    <w:t>O</w:t>
                  </w:r>
                  <w:r>
                    <w:rPr>
                      <w:szCs w:val="21"/>
                      <w:vertAlign w:val="subscript"/>
                    </w:rPr>
                    <w:t>3</w:t>
                  </w:r>
                </w:p>
              </w:tc>
              <w:tc>
                <w:tcPr>
                  <w:tcW w:w="1178" w:type="dxa"/>
                  <w:vAlign w:val="center"/>
                </w:tcPr>
                <w:p>
                  <w:pPr>
                    <w:jc w:val="center"/>
                    <w:rPr>
                      <w:szCs w:val="21"/>
                    </w:rPr>
                  </w:pPr>
                  <w:r>
                    <w:rPr>
                      <w:szCs w:val="21"/>
                    </w:rPr>
                    <w:t>0.2</w:t>
                  </w:r>
                </w:p>
              </w:tc>
              <w:tc>
                <w:tcPr>
                  <w:tcW w:w="1893" w:type="dxa"/>
                  <w:vAlign w:val="center"/>
                </w:tcPr>
                <w:p>
                  <w:pPr>
                    <w:jc w:val="center"/>
                    <w:rPr>
                      <w:szCs w:val="21"/>
                    </w:rPr>
                  </w:pPr>
                  <w:r>
                    <w:rPr>
                      <w:szCs w:val="21"/>
                    </w:rPr>
                    <w:t>0.16（8小时平均）</w:t>
                  </w:r>
                </w:p>
              </w:tc>
              <w:tc>
                <w:tcPr>
                  <w:tcW w:w="1275" w:type="dxa"/>
                  <w:vAlign w:val="center"/>
                </w:tcPr>
                <w:p>
                  <w:pPr>
                    <w:jc w:val="center"/>
                    <w:rPr>
                      <w:szCs w:val="21"/>
                    </w:rPr>
                  </w:pPr>
                  <w:r>
                    <w:rPr>
                      <w:szCs w:val="21"/>
                    </w:rPr>
                    <w:t>-</w:t>
                  </w:r>
                </w:p>
              </w:tc>
              <w:tc>
                <w:tcPr>
                  <w:tcW w:w="2275" w:type="dxa"/>
                  <w:vMerge w:val="continue"/>
                  <w:vAlign w:val="center"/>
                </w:tcPr>
                <w:p>
                  <w:pPr>
                    <w:jc w:val="center"/>
                    <w:rPr>
                      <w:szCs w:val="21"/>
                    </w:rPr>
                  </w:pPr>
                </w:p>
              </w:tc>
            </w:tr>
          </w:tbl>
          <w:p>
            <w:pPr>
              <w:spacing w:line="360" w:lineRule="auto"/>
              <w:rPr>
                <w:b/>
                <w:sz w:val="24"/>
              </w:rPr>
            </w:pPr>
            <w:r>
              <w:rPr>
                <w:b/>
                <w:sz w:val="24"/>
              </w:rPr>
              <w:t>2、地表水</w:t>
            </w:r>
          </w:p>
          <w:p>
            <w:pPr>
              <w:spacing w:line="360" w:lineRule="auto"/>
              <w:ind w:firstLine="480" w:firstLineChars="200"/>
              <w:rPr>
                <w:sz w:val="24"/>
              </w:rPr>
            </w:pPr>
            <w:r>
              <w:rPr>
                <w:sz w:val="24"/>
              </w:rPr>
              <w:t>槎江执行《地表水环境质量标准》（GB3838-2002）III类。</w:t>
            </w:r>
          </w:p>
          <w:p>
            <w:pPr>
              <w:jc w:val="center"/>
              <w:rPr>
                <w:sz w:val="24"/>
              </w:rPr>
            </w:pPr>
            <w:r>
              <w:rPr>
                <w:b/>
                <w:bCs/>
                <w:szCs w:val="21"/>
              </w:rPr>
              <w:t>表4-2  地表水环境质量标准  单位：mg/L（PH除外）</w:t>
            </w:r>
          </w:p>
          <w:tbl>
            <w:tblPr>
              <w:tblStyle w:val="38"/>
              <w:tblW w:w="83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532"/>
              <w:gridCol w:w="716"/>
              <w:gridCol w:w="836"/>
              <w:gridCol w:w="993"/>
              <w:gridCol w:w="1428"/>
              <w:gridCol w:w="1465"/>
              <w:gridCol w:w="1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trPr>
              <w:tc>
                <w:tcPr>
                  <w:tcW w:w="756" w:type="dxa"/>
                  <w:vAlign w:val="top"/>
                </w:tcPr>
                <w:p>
                  <w:pPr>
                    <w:spacing w:line="360" w:lineRule="auto"/>
                    <w:jc w:val="center"/>
                    <w:rPr>
                      <w:szCs w:val="21"/>
                    </w:rPr>
                  </w:pPr>
                  <w:r>
                    <w:rPr>
                      <w:szCs w:val="21"/>
                    </w:rPr>
                    <w:t>类别</w:t>
                  </w:r>
                </w:p>
              </w:tc>
              <w:tc>
                <w:tcPr>
                  <w:tcW w:w="532" w:type="dxa"/>
                  <w:vAlign w:val="top"/>
                </w:tcPr>
                <w:p>
                  <w:pPr>
                    <w:spacing w:line="360" w:lineRule="auto"/>
                    <w:jc w:val="center"/>
                    <w:rPr>
                      <w:szCs w:val="21"/>
                    </w:rPr>
                  </w:pPr>
                  <w:r>
                    <w:rPr>
                      <w:szCs w:val="21"/>
                    </w:rPr>
                    <w:t>PH</w:t>
                  </w:r>
                </w:p>
              </w:tc>
              <w:tc>
                <w:tcPr>
                  <w:tcW w:w="716" w:type="dxa"/>
                  <w:vAlign w:val="top"/>
                </w:tcPr>
                <w:p>
                  <w:pPr>
                    <w:spacing w:line="360" w:lineRule="auto"/>
                    <w:jc w:val="center"/>
                    <w:rPr>
                      <w:szCs w:val="21"/>
                    </w:rPr>
                  </w:pPr>
                  <w:r>
                    <w:rPr>
                      <w:szCs w:val="21"/>
                    </w:rPr>
                    <w:t>COD</w:t>
                  </w:r>
                </w:p>
              </w:tc>
              <w:tc>
                <w:tcPr>
                  <w:tcW w:w="836" w:type="dxa"/>
                  <w:vAlign w:val="top"/>
                </w:tcPr>
                <w:p>
                  <w:pPr>
                    <w:spacing w:line="360" w:lineRule="auto"/>
                    <w:jc w:val="center"/>
                    <w:rPr>
                      <w:szCs w:val="21"/>
                    </w:rPr>
                  </w:pPr>
                  <w:r>
                    <w:rPr>
                      <w:szCs w:val="21"/>
                    </w:rPr>
                    <w:t>BOD</w:t>
                  </w:r>
                  <w:r>
                    <w:rPr>
                      <w:szCs w:val="21"/>
                      <w:vertAlign w:val="subscript"/>
                    </w:rPr>
                    <w:t>5</w:t>
                  </w:r>
                </w:p>
              </w:tc>
              <w:tc>
                <w:tcPr>
                  <w:tcW w:w="993" w:type="dxa"/>
                  <w:vAlign w:val="top"/>
                </w:tcPr>
                <w:p>
                  <w:pPr>
                    <w:spacing w:line="360" w:lineRule="auto"/>
                    <w:jc w:val="center"/>
                    <w:rPr>
                      <w:szCs w:val="21"/>
                    </w:rPr>
                  </w:pPr>
                  <w:r>
                    <w:rPr>
                      <w:szCs w:val="21"/>
                    </w:rPr>
                    <w:t>NH</w:t>
                  </w:r>
                  <w:r>
                    <w:rPr>
                      <w:szCs w:val="21"/>
                      <w:vertAlign w:val="subscript"/>
                    </w:rPr>
                    <w:t>3</w:t>
                  </w:r>
                  <w:r>
                    <w:rPr>
                      <w:szCs w:val="21"/>
                    </w:rPr>
                    <w:t>-N</w:t>
                  </w:r>
                </w:p>
              </w:tc>
              <w:tc>
                <w:tcPr>
                  <w:tcW w:w="1428" w:type="dxa"/>
                  <w:vAlign w:val="top"/>
                </w:tcPr>
                <w:p>
                  <w:pPr>
                    <w:spacing w:line="360" w:lineRule="auto"/>
                    <w:jc w:val="center"/>
                    <w:rPr>
                      <w:szCs w:val="21"/>
                    </w:rPr>
                  </w:pPr>
                  <w:r>
                    <w:rPr>
                      <w:szCs w:val="21"/>
                    </w:rPr>
                    <w:t>石油类</w:t>
                  </w:r>
                </w:p>
              </w:tc>
              <w:tc>
                <w:tcPr>
                  <w:tcW w:w="1465" w:type="dxa"/>
                  <w:vAlign w:val="top"/>
                </w:tcPr>
                <w:p>
                  <w:pPr>
                    <w:spacing w:line="360" w:lineRule="auto"/>
                    <w:jc w:val="center"/>
                    <w:rPr>
                      <w:szCs w:val="21"/>
                    </w:rPr>
                  </w:pPr>
                  <w:r>
                    <w:rPr>
                      <w:szCs w:val="21"/>
                    </w:rPr>
                    <w:t>LAS</w:t>
                  </w:r>
                </w:p>
              </w:tc>
              <w:tc>
                <w:tcPr>
                  <w:tcW w:w="1663" w:type="dxa"/>
                  <w:vAlign w:val="top"/>
                </w:tcPr>
                <w:p>
                  <w:pPr>
                    <w:spacing w:line="360" w:lineRule="auto"/>
                    <w:jc w:val="center"/>
                    <w:rPr>
                      <w:szCs w:val="21"/>
                    </w:rPr>
                  </w:pPr>
                  <w:r>
                    <w:rPr>
                      <w:szCs w:val="21"/>
                    </w:rPr>
                    <w:t>粪大肠菌群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trPr>
              <w:tc>
                <w:tcPr>
                  <w:tcW w:w="756" w:type="dxa"/>
                  <w:vAlign w:val="top"/>
                </w:tcPr>
                <w:p>
                  <w:pPr>
                    <w:spacing w:line="360" w:lineRule="auto"/>
                    <w:jc w:val="center"/>
                    <w:rPr>
                      <w:szCs w:val="21"/>
                    </w:rPr>
                  </w:pPr>
                  <w:r>
                    <w:rPr>
                      <w:szCs w:val="21"/>
                    </w:rPr>
                    <w:t>III</w:t>
                  </w:r>
                </w:p>
              </w:tc>
              <w:tc>
                <w:tcPr>
                  <w:tcW w:w="532" w:type="dxa"/>
                  <w:vAlign w:val="top"/>
                </w:tcPr>
                <w:p>
                  <w:pPr>
                    <w:spacing w:line="360" w:lineRule="auto"/>
                    <w:jc w:val="center"/>
                    <w:rPr>
                      <w:szCs w:val="21"/>
                    </w:rPr>
                  </w:pPr>
                  <w:r>
                    <w:rPr>
                      <w:szCs w:val="21"/>
                    </w:rPr>
                    <w:t>6-9</w:t>
                  </w:r>
                </w:p>
              </w:tc>
              <w:tc>
                <w:tcPr>
                  <w:tcW w:w="716" w:type="dxa"/>
                  <w:vAlign w:val="top"/>
                </w:tcPr>
                <w:p>
                  <w:pPr>
                    <w:spacing w:line="360" w:lineRule="auto"/>
                    <w:jc w:val="center"/>
                    <w:rPr>
                      <w:szCs w:val="21"/>
                    </w:rPr>
                  </w:pPr>
                  <w:r>
                    <w:rPr>
                      <w:szCs w:val="21"/>
                    </w:rPr>
                    <w:t>20</w:t>
                  </w:r>
                </w:p>
              </w:tc>
              <w:tc>
                <w:tcPr>
                  <w:tcW w:w="836" w:type="dxa"/>
                  <w:vAlign w:val="top"/>
                </w:tcPr>
                <w:p>
                  <w:pPr>
                    <w:spacing w:line="360" w:lineRule="auto"/>
                    <w:jc w:val="center"/>
                    <w:rPr>
                      <w:szCs w:val="21"/>
                    </w:rPr>
                  </w:pPr>
                  <w:r>
                    <w:rPr>
                      <w:szCs w:val="21"/>
                    </w:rPr>
                    <w:t>4</w:t>
                  </w:r>
                </w:p>
              </w:tc>
              <w:tc>
                <w:tcPr>
                  <w:tcW w:w="993" w:type="dxa"/>
                  <w:vAlign w:val="top"/>
                </w:tcPr>
                <w:p>
                  <w:pPr>
                    <w:spacing w:line="360" w:lineRule="auto"/>
                    <w:jc w:val="center"/>
                    <w:rPr>
                      <w:szCs w:val="21"/>
                    </w:rPr>
                  </w:pPr>
                  <w:r>
                    <w:rPr>
                      <w:szCs w:val="21"/>
                    </w:rPr>
                    <w:t>1.0</w:t>
                  </w:r>
                </w:p>
              </w:tc>
              <w:tc>
                <w:tcPr>
                  <w:tcW w:w="1428" w:type="dxa"/>
                  <w:vAlign w:val="top"/>
                </w:tcPr>
                <w:p>
                  <w:pPr>
                    <w:spacing w:line="360" w:lineRule="auto"/>
                    <w:jc w:val="center"/>
                    <w:rPr>
                      <w:szCs w:val="21"/>
                    </w:rPr>
                  </w:pPr>
                  <w:r>
                    <w:rPr>
                      <w:szCs w:val="21"/>
                    </w:rPr>
                    <w:t>0.05</w:t>
                  </w:r>
                </w:p>
              </w:tc>
              <w:tc>
                <w:tcPr>
                  <w:tcW w:w="1465" w:type="dxa"/>
                  <w:vAlign w:val="top"/>
                </w:tcPr>
                <w:p>
                  <w:pPr>
                    <w:spacing w:line="360" w:lineRule="auto"/>
                    <w:jc w:val="center"/>
                    <w:rPr>
                      <w:szCs w:val="21"/>
                    </w:rPr>
                  </w:pPr>
                  <w:r>
                    <w:rPr>
                      <w:szCs w:val="21"/>
                    </w:rPr>
                    <w:t>0.2</w:t>
                  </w:r>
                </w:p>
              </w:tc>
              <w:tc>
                <w:tcPr>
                  <w:tcW w:w="1663" w:type="dxa"/>
                  <w:vAlign w:val="top"/>
                </w:tcPr>
                <w:p>
                  <w:pPr>
                    <w:spacing w:line="360" w:lineRule="auto"/>
                    <w:jc w:val="center"/>
                    <w:rPr>
                      <w:szCs w:val="21"/>
                    </w:rPr>
                  </w:pPr>
                  <w:r>
                    <w:rPr>
                      <w:szCs w:val="21"/>
                    </w:rPr>
                    <w:t>10000</w:t>
                  </w:r>
                </w:p>
              </w:tc>
            </w:tr>
          </w:tbl>
          <w:p>
            <w:pPr>
              <w:spacing w:line="360" w:lineRule="auto"/>
              <w:rPr>
                <w:b/>
                <w:sz w:val="24"/>
              </w:rPr>
            </w:pPr>
            <w:r>
              <w:rPr>
                <w:b/>
                <w:sz w:val="24"/>
              </w:rPr>
              <w:t>3、声环境</w:t>
            </w:r>
          </w:p>
          <w:p>
            <w:pPr>
              <w:spacing w:line="360" w:lineRule="auto"/>
              <w:ind w:firstLine="480" w:firstLineChars="200"/>
              <w:rPr>
                <w:sz w:val="24"/>
              </w:rPr>
            </w:pPr>
            <w:r>
              <w:rPr>
                <w:sz w:val="24"/>
              </w:rPr>
              <w:t>执行《声环境质量标准》（GB3096-2008）</w:t>
            </w:r>
            <w:r>
              <w:rPr>
                <w:rFonts w:hint="eastAsia"/>
                <w:sz w:val="24"/>
                <w:lang w:val="en-US" w:eastAsia="zh-CN"/>
              </w:rPr>
              <w:t>2</w:t>
            </w:r>
            <w:r>
              <w:rPr>
                <w:sz w:val="24"/>
              </w:rPr>
              <w:t>类标准。</w:t>
            </w:r>
          </w:p>
          <w:p>
            <w:pPr>
              <w:jc w:val="center"/>
              <w:rPr>
                <w:sz w:val="24"/>
              </w:rPr>
            </w:pPr>
            <w:r>
              <w:rPr>
                <w:b/>
                <w:bCs/>
                <w:szCs w:val="21"/>
              </w:rPr>
              <w:t>表 4-3  声环境环境质量标准  单位：dB（A）</w:t>
            </w:r>
          </w:p>
          <w:tbl>
            <w:tblPr>
              <w:tblStyle w:val="38"/>
              <w:tblW w:w="838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96"/>
              <w:gridCol w:w="2796"/>
              <w:gridCol w:w="2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96" w:type="dxa"/>
                  <w:vAlign w:val="top"/>
                </w:tcPr>
                <w:p>
                  <w:pPr>
                    <w:spacing w:line="360" w:lineRule="auto"/>
                    <w:jc w:val="center"/>
                    <w:rPr>
                      <w:szCs w:val="21"/>
                    </w:rPr>
                  </w:pPr>
                  <w:r>
                    <w:rPr>
                      <w:szCs w:val="21"/>
                    </w:rPr>
                    <w:t>类别</w:t>
                  </w:r>
                </w:p>
              </w:tc>
              <w:tc>
                <w:tcPr>
                  <w:tcW w:w="2796" w:type="dxa"/>
                  <w:vAlign w:val="top"/>
                </w:tcPr>
                <w:p>
                  <w:pPr>
                    <w:spacing w:line="360" w:lineRule="auto"/>
                    <w:jc w:val="center"/>
                    <w:rPr>
                      <w:szCs w:val="21"/>
                    </w:rPr>
                  </w:pPr>
                  <w:r>
                    <w:rPr>
                      <w:szCs w:val="21"/>
                    </w:rPr>
                    <w:t>昼间</w:t>
                  </w:r>
                </w:p>
              </w:tc>
              <w:tc>
                <w:tcPr>
                  <w:tcW w:w="2797" w:type="dxa"/>
                  <w:vAlign w:val="top"/>
                </w:tcPr>
                <w:p>
                  <w:pPr>
                    <w:spacing w:line="360" w:lineRule="auto"/>
                    <w:jc w:val="center"/>
                    <w:rPr>
                      <w:szCs w:val="21"/>
                    </w:rPr>
                  </w:pPr>
                  <w:r>
                    <w:rPr>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96" w:type="dxa"/>
                  <w:vAlign w:val="top"/>
                </w:tcPr>
                <w:p>
                  <w:pPr>
                    <w:spacing w:line="360" w:lineRule="auto"/>
                    <w:jc w:val="center"/>
                    <w:rPr>
                      <w:szCs w:val="21"/>
                    </w:rPr>
                  </w:pPr>
                  <w:r>
                    <w:rPr>
                      <w:rFonts w:hint="eastAsia"/>
                      <w:szCs w:val="21"/>
                      <w:lang w:val="en-US" w:eastAsia="zh-CN"/>
                    </w:rPr>
                    <w:t>2</w:t>
                  </w:r>
                  <w:r>
                    <w:rPr>
                      <w:szCs w:val="21"/>
                    </w:rPr>
                    <w:t>类</w:t>
                  </w:r>
                </w:p>
              </w:tc>
              <w:tc>
                <w:tcPr>
                  <w:tcW w:w="2796" w:type="dxa"/>
                  <w:vAlign w:val="top"/>
                </w:tcPr>
                <w:p>
                  <w:pPr>
                    <w:spacing w:line="360" w:lineRule="auto"/>
                    <w:jc w:val="center"/>
                    <w:rPr>
                      <w:rFonts w:hint="eastAsia" w:eastAsia="宋体"/>
                      <w:szCs w:val="21"/>
                      <w:lang w:val="en-US" w:eastAsia="zh-CN"/>
                    </w:rPr>
                  </w:pPr>
                  <w:r>
                    <w:rPr>
                      <w:rFonts w:hint="eastAsia"/>
                      <w:szCs w:val="21"/>
                      <w:lang w:val="en-US" w:eastAsia="zh-CN"/>
                    </w:rPr>
                    <w:t>60</w:t>
                  </w:r>
                </w:p>
              </w:tc>
              <w:tc>
                <w:tcPr>
                  <w:tcW w:w="2797" w:type="dxa"/>
                  <w:vAlign w:val="top"/>
                </w:tcPr>
                <w:p>
                  <w:pPr>
                    <w:spacing w:line="360" w:lineRule="auto"/>
                    <w:jc w:val="center"/>
                    <w:rPr>
                      <w:rFonts w:hint="eastAsia" w:eastAsia="宋体"/>
                      <w:szCs w:val="21"/>
                      <w:lang w:val="en-US" w:eastAsia="zh-CN"/>
                    </w:rPr>
                  </w:pPr>
                  <w:r>
                    <w:rPr>
                      <w:rFonts w:hint="eastAsia"/>
                      <w:szCs w:val="21"/>
                      <w:lang w:val="en-US" w:eastAsia="zh-CN"/>
                    </w:rPr>
                    <w:t>50</w:t>
                  </w:r>
                </w:p>
              </w:tc>
            </w:tr>
          </w:tbl>
          <w:p>
            <w:pPr>
              <w:pStyle w:val="1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675" w:type="dxa"/>
            <w:vAlign w:val="center"/>
          </w:tcPr>
          <w:p>
            <w:pPr>
              <w:adjustRightInd w:val="0"/>
              <w:snapToGrid w:val="0"/>
              <w:jc w:val="center"/>
              <w:rPr>
                <w:sz w:val="24"/>
              </w:rPr>
            </w:pPr>
            <w:r>
              <w:rPr>
                <w:sz w:val="24"/>
              </w:rPr>
              <w:t>污</w:t>
            </w:r>
          </w:p>
          <w:p>
            <w:pPr>
              <w:adjustRightInd w:val="0"/>
              <w:snapToGrid w:val="0"/>
              <w:jc w:val="center"/>
              <w:rPr>
                <w:sz w:val="24"/>
              </w:rPr>
            </w:pPr>
            <w:r>
              <w:rPr>
                <w:sz w:val="24"/>
              </w:rPr>
              <w:t>染</w:t>
            </w:r>
          </w:p>
          <w:p>
            <w:pPr>
              <w:adjustRightInd w:val="0"/>
              <w:snapToGrid w:val="0"/>
              <w:jc w:val="center"/>
              <w:rPr>
                <w:sz w:val="24"/>
              </w:rPr>
            </w:pPr>
            <w:r>
              <w:rPr>
                <w:sz w:val="24"/>
              </w:rPr>
              <w:t>物</w:t>
            </w:r>
          </w:p>
          <w:p>
            <w:pPr>
              <w:adjustRightInd w:val="0"/>
              <w:snapToGrid w:val="0"/>
              <w:jc w:val="center"/>
              <w:rPr>
                <w:sz w:val="24"/>
              </w:rPr>
            </w:pPr>
            <w:r>
              <w:rPr>
                <w:sz w:val="24"/>
              </w:rPr>
              <w:t>排</w:t>
            </w:r>
          </w:p>
          <w:p>
            <w:pPr>
              <w:adjustRightInd w:val="0"/>
              <w:snapToGrid w:val="0"/>
              <w:jc w:val="center"/>
              <w:rPr>
                <w:sz w:val="24"/>
              </w:rPr>
            </w:pPr>
            <w:r>
              <w:rPr>
                <w:sz w:val="24"/>
              </w:rPr>
              <w:t>放</w:t>
            </w:r>
          </w:p>
          <w:p>
            <w:pPr>
              <w:adjustRightInd w:val="0"/>
              <w:snapToGrid w:val="0"/>
              <w:jc w:val="center"/>
              <w:rPr>
                <w:sz w:val="24"/>
              </w:rPr>
            </w:pPr>
            <w:r>
              <w:rPr>
                <w:sz w:val="24"/>
              </w:rPr>
              <w:t>标</w:t>
            </w:r>
          </w:p>
          <w:p>
            <w:pPr>
              <w:adjustRightInd w:val="0"/>
              <w:snapToGrid w:val="0"/>
              <w:jc w:val="center"/>
              <w:rPr>
                <w:sz w:val="24"/>
              </w:rPr>
            </w:pPr>
            <w:r>
              <w:rPr>
                <w:sz w:val="24"/>
              </w:rPr>
              <w:t>准</w:t>
            </w:r>
          </w:p>
        </w:tc>
        <w:tc>
          <w:tcPr>
            <w:tcW w:w="8635" w:type="dxa"/>
            <w:vAlign w:val="center"/>
          </w:tcPr>
          <w:p>
            <w:pPr>
              <w:spacing w:line="360" w:lineRule="auto"/>
              <w:rPr>
                <w:sz w:val="24"/>
              </w:rPr>
            </w:pPr>
            <w:r>
              <w:rPr>
                <w:b/>
                <w:sz w:val="24"/>
              </w:rPr>
              <w:t>1、废气</w:t>
            </w:r>
          </w:p>
          <w:p>
            <w:pPr>
              <w:spacing w:line="480" w:lineRule="exact"/>
              <w:ind w:firstLine="480" w:firstLineChars="200"/>
              <w:rPr>
                <w:sz w:val="24"/>
              </w:rPr>
            </w:pPr>
            <w:r>
              <w:rPr>
                <w:sz w:val="24"/>
              </w:rPr>
              <w:t>本项目所产生的颗粒物执行《大气污染物综合排放标准》（GB16297-1996）标准，详见下表。</w:t>
            </w:r>
          </w:p>
          <w:p>
            <w:pPr>
              <w:jc w:val="center"/>
              <w:rPr>
                <w:b/>
                <w:bCs/>
                <w:snapToGrid w:val="0"/>
                <w:kern w:val="0"/>
                <w:szCs w:val="21"/>
              </w:rPr>
            </w:pPr>
            <w:r>
              <w:rPr>
                <w:b/>
                <w:bCs/>
                <w:snapToGrid w:val="0"/>
                <w:kern w:val="0"/>
                <w:szCs w:val="21"/>
              </w:rPr>
              <w:t>表4-4  大气污染物综合排放标准(GB16297-1996)</w:t>
            </w:r>
          </w:p>
          <w:tbl>
            <w:tblPr>
              <w:tblStyle w:val="38"/>
              <w:tblW w:w="838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174"/>
              <w:gridCol w:w="2658"/>
              <w:gridCol w:w="35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3" w:hRule="atLeast"/>
                <w:jc w:val="center"/>
              </w:trPr>
              <w:tc>
                <w:tcPr>
                  <w:tcW w:w="2174" w:type="dxa"/>
                  <w:vMerge w:val="restart"/>
                  <w:vAlign w:val="center"/>
                </w:tcPr>
                <w:p>
                  <w:pPr>
                    <w:snapToGrid w:val="0"/>
                    <w:jc w:val="center"/>
                    <w:rPr>
                      <w:b/>
                      <w:bCs/>
                      <w:szCs w:val="21"/>
                    </w:rPr>
                  </w:pPr>
                  <w:r>
                    <w:rPr>
                      <w:b/>
                      <w:bCs/>
                      <w:szCs w:val="21"/>
                    </w:rPr>
                    <w:t>污染物</w:t>
                  </w:r>
                </w:p>
              </w:tc>
              <w:tc>
                <w:tcPr>
                  <w:tcW w:w="6215" w:type="dxa"/>
                  <w:gridSpan w:val="2"/>
                  <w:vAlign w:val="center"/>
                </w:tcPr>
                <w:p>
                  <w:pPr>
                    <w:snapToGrid w:val="0"/>
                    <w:jc w:val="center"/>
                    <w:rPr>
                      <w:b/>
                      <w:bCs/>
                      <w:szCs w:val="21"/>
                    </w:rPr>
                  </w:pPr>
                  <w:r>
                    <w:rPr>
                      <w:b/>
                      <w:bCs/>
                      <w:szCs w:val="21"/>
                    </w:rPr>
                    <w:t>无组织排放监控浓度限值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3" w:hRule="atLeast"/>
                <w:jc w:val="center"/>
              </w:trPr>
              <w:tc>
                <w:tcPr>
                  <w:tcW w:w="2174" w:type="dxa"/>
                  <w:vMerge w:val="continue"/>
                  <w:vAlign w:val="center"/>
                </w:tcPr>
                <w:p>
                  <w:pPr>
                    <w:pStyle w:val="23"/>
                    <w:ind w:firstLine="480"/>
                    <w:jc w:val="center"/>
                    <w:rPr>
                      <w:b/>
                      <w:bCs/>
                      <w:sz w:val="21"/>
                      <w:szCs w:val="21"/>
                    </w:rPr>
                  </w:pPr>
                </w:p>
              </w:tc>
              <w:tc>
                <w:tcPr>
                  <w:tcW w:w="2658" w:type="dxa"/>
                  <w:vAlign w:val="center"/>
                </w:tcPr>
                <w:p>
                  <w:pPr>
                    <w:snapToGrid w:val="0"/>
                    <w:jc w:val="center"/>
                    <w:rPr>
                      <w:b/>
                      <w:bCs/>
                      <w:szCs w:val="21"/>
                    </w:rPr>
                  </w:pPr>
                  <w:r>
                    <w:rPr>
                      <w:b/>
                      <w:bCs/>
                      <w:szCs w:val="21"/>
                    </w:rPr>
                    <w:t>监控点</w:t>
                  </w:r>
                </w:p>
              </w:tc>
              <w:tc>
                <w:tcPr>
                  <w:tcW w:w="3557" w:type="dxa"/>
                  <w:vAlign w:val="center"/>
                </w:tcPr>
                <w:p>
                  <w:pPr>
                    <w:snapToGrid w:val="0"/>
                    <w:jc w:val="center"/>
                    <w:rPr>
                      <w:b/>
                      <w:bCs/>
                      <w:szCs w:val="21"/>
                    </w:rPr>
                  </w:pPr>
                  <w:r>
                    <w:rPr>
                      <w:b/>
                      <w:bCs/>
                      <w:szCs w:val="21"/>
                    </w:rPr>
                    <w:t>浓度(mg/m</w:t>
                  </w:r>
                  <w:r>
                    <w:rPr>
                      <w:b/>
                      <w:bCs/>
                      <w:szCs w:val="21"/>
                      <w:vertAlign w:val="superscript"/>
                    </w:rPr>
                    <w:t>3</w:t>
                  </w:r>
                  <w:r>
                    <w:rPr>
                      <w:b/>
                      <w:bCs/>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63" w:hRule="atLeast"/>
                <w:jc w:val="center"/>
              </w:trPr>
              <w:tc>
                <w:tcPr>
                  <w:tcW w:w="2174" w:type="dxa"/>
                  <w:vAlign w:val="center"/>
                </w:tcPr>
                <w:p>
                  <w:pPr>
                    <w:snapToGrid w:val="0"/>
                    <w:jc w:val="center"/>
                    <w:rPr>
                      <w:szCs w:val="21"/>
                    </w:rPr>
                  </w:pPr>
                  <w:r>
                    <w:rPr>
                      <w:szCs w:val="21"/>
                    </w:rPr>
                    <w:t>颗粒物</w:t>
                  </w:r>
                </w:p>
              </w:tc>
              <w:tc>
                <w:tcPr>
                  <w:tcW w:w="2658" w:type="dxa"/>
                  <w:vAlign w:val="center"/>
                </w:tcPr>
                <w:p>
                  <w:pPr>
                    <w:snapToGrid w:val="0"/>
                    <w:jc w:val="center"/>
                    <w:rPr>
                      <w:bCs/>
                      <w:szCs w:val="21"/>
                    </w:rPr>
                  </w:pPr>
                  <w:r>
                    <w:rPr>
                      <w:bCs/>
                      <w:szCs w:val="21"/>
                    </w:rPr>
                    <w:t>周界外浓度最高点</w:t>
                  </w:r>
                </w:p>
              </w:tc>
              <w:tc>
                <w:tcPr>
                  <w:tcW w:w="3557" w:type="dxa"/>
                  <w:vAlign w:val="center"/>
                </w:tcPr>
                <w:p>
                  <w:pPr>
                    <w:snapToGrid w:val="0"/>
                    <w:jc w:val="center"/>
                    <w:rPr>
                      <w:szCs w:val="21"/>
                    </w:rPr>
                  </w:pPr>
                  <w:r>
                    <w:rPr>
                      <w:szCs w:val="21"/>
                    </w:rPr>
                    <w:t>1.0</w:t>
                  </w:r>
                </w:p>
              </w:tc>
            </w:tr>
          </w:tbl>
          <w:p>
            <w:pPr>
              <w:spacing w:line="360" w:lineRule="auto"/>
              <w:rPr>
                <w:b/>
                <w:sz w:val="24"/>
              </w:rPr>
            </w:pPr>
            <w:r>
              <w:rPr>
                <w:b/>
                <w:sz w:val="24"/>
              </w:rPr>
              <w:t>2、废水</w:t>
            </w:r>
          </w:p>
          <w:p>
            <w:pPr>
              <w:spacing w:line="360" w:lineRule="auto"/>
              <w:ind w:firstLine="480" w:firstLineChars="200"/>
              <w:rPr>
                <w:bCs/>
                <w:sz w:val="24"/>
              </w:rPr>
            </w:pPr>
            <w:r>
              <w:rPr>
                <w:sz w:val="24"/>
              </w:rPr>
              <w:t>本项目生产废水</w:t>
            </w:r>
            <w:r>
              <w:rPr>
                <w:rFonts w:hint="eastAsia"/>
                <w:sz w:val="24"/>
              </w:rPr>
              <w:t>经</w:t>
            </w:r>
            <w:r>
              <w:rPr>
                <w:sz w:val="24"/>
              </w:rPr>
              <w:t>循环水池循环使用不外排，</w:t>
            </w:r>
            <w:r>
              <w:rPr>
                <w:rFonts w:hint="eastAsia"/>
                <w:sz w:val="24"/>
              </w:rPr>
              <w:t>生活污水经化粪池处理后用作农</w:t>
            </w:r>
            <w:r>
              <w:rPr>
                <w:rFonts w:hint="eastAsia"/>
                <w:sz w:val="24"/>
                <w:u w:val="none"/>
              </w:rPr>
              <w:t>肥</w:t>
            </w:r>
            <w:r>
              <w:rPr>
                <w:sz w:val="24"/>
                <w:u w:val="none"/>
              </w:rPr>
              <w:t>。</w:t>
            </w:r>
          </w:p>
          <w:p>
            <w:pPr>
              <w:spacing w:line="360" w:lineRule="auto"/>
              <w:rPr>
                <w:b/>
                <w:sz w:val="24"/>
              </w:rPr>
            </w:pPr>
            <w:r>
              <w:rPr>
                <w:b/>
                <w:sz w:val="24"/>
              </w:rPr>
              <w:t>3、噪声</w:t>
            </w:r>
          </w:p>
          <w:p>
            <w:pPr>
              <w:spacing w:line="360" w:lineRule="auto"/>
              <w:ind w:firstLine="480" w:firstLineChars="200"/>
              <w:rPr>
                <w:sz w:val="24"/>
              </w:rPr>
            </w:pPr>
            <w:r>
              <w:rPr>
                <w:sz w:val="24"/>
              </w:rPr>
              <w:t>运营期执行《工业企业厂界环境噪声排放标准》（GB12348-2008）中</w:t>
            </w:r>
            <w:r>
              <w:rPr>
                <w:rFonts w:hint="eastAsia"/>
                <w:sz w:val="24"/>
                <w:lang w:val="en-US" w:eastAsia="zh-CN"/>
              </w:rPr>
              <w:t>2</w:t>
            </w:r>
            <w:r>
              <w:rPr>
                <w:rFonts w:hint="eastAsia"/>
                <w:sz w:val="24"/>
              </w:rPr>
              <w:t>类</w:t>
            </w:r>
            <w:r>
              <w:rPr>
                <w:sz w:val="24"/>
              </w:rPr>
              <w:t>标准。</w:t>
            </w:r>
          </w:p>
          <w:p>
            <w:pPr>
              <w:jc w:val="center"/>
              <w:rPr>
                <w:b/>
                <w:bCs/>
                <w:szCs w:val="21"/>
              </w:rPr>
            </w:pPr>
            <w:r>
              <w:rPr>
                <w:b/>
                <w:bCs/>
                <w:szCs w:val="21"/>
              </w:rPr>
              <w:t>表4-</w:t>
            </w:r>
            <w:r>
              <w:rPr>
                <w:rFonts w:hint="eastAsia"/>
                <w:b/>
                <w:bCs/>
                <w:szCs w:val="21"/>
                <w:lang w:val="en-US" w:eastAsia="zh-CN"/>
              </w:rPr>
              <w:t>5</w:t>
            </w:r>
            <w:r>
              <w:rPr>
                <w:b/>
                <w:bCs/>
                <w:szCs w:val="21"/>
              </w:rPr>
              <w:t xml:space="preserve">  工业企业厂界环境噪声排放标准（GB12348-2008）单位：dB（A）</w:t>
            </w:r>
          </w:p>
          <w:tbl>
            <w:tblPr>
              <w:tblStyle w:val="38"/>
              <w:tblW w:w="838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96"/>
              <w:gridCol w:w="2796"/>
              <w:gridCol w:w="2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2796" w:type="dxa"/>
                  <w:vAlign w:val="top"/>
                </w:tcPr>
                <w:p>
                  <w:pPr>
                    <w:spacing w:line="360" w:lineRule="auto"/>
                    <w:jc w:val="center"/>
                    <w:rPr>
                      <w:szCs w:val="21"/>
                    </w:rPr>
                  </w:pPr>
                  <w:r>
                    <w:rPr>
                      <w:szCs w:val="21"/>
                    </w:rPr>
                    <w:t>厂界外声环境功能区类别</w:t>
                  </w:r>
                </w:p>
              </w:tc>
              <w:tc>
                <w:tcPr>
                  <w:tcW w:w="2796" w:type="dxa"/>
                  <w:vAlign w:val="top"/>
                </w:tcPr>
                <w:p>
                  <w:pPr>
                    <w:spacing w:line="360" w:lineRule="auto"/>
                    <w:jc w:val="center"/>
                    <w:rPr>
                      <w:szCs w:val="21"/>
                    </w:rPr>
                  </w:pPr>
                  <w:r>
                    <w:rPr>
                      <w:szCs w:val="21"/>
                    </w:rPr>
                    <w:t>昼间</w:t>
                  </w:r>
                </w:p>
              </w:tc>
              <w:tc>
                <w:tcPr>
                  <w:tcW w:w="2797" w:type="dxa"/>
                  <w:vAlign w:val="top"/>
                </w:tcPr>
                <w:p>
                  <w:pPr>
                    <w:spacing w:line="360" w:lineRule="auto"/>
                    <w:jc w:val="center"/>
                    <w:rPr>
                      <w:szCs w:val="21"/>
                    </w:rPr>
                  </w:pPr>
                  <w:r>
                    <w:rPr>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2796" w:type="dxa"/>
                  <w:vAlign w:val="top"/>
                </w:tcPr>
                <w:p>
                  <w:pPr>
                    <w:spacing w:line="360" w:lineRule="auto"/>
                    <w:jc w:val="center"/>
                    <w:rPr>
                      <w:szCs w:val="21"/>
                    </w:rPr>
                  </w:pPr>
                  <w:r>
                    <w:rPr>
                      <w:rFonts w:hint="eastAsia"/>
                      <w:szCs w:val="21"/>
                      <w:lang w:val="en-US" w:eastAsia="zh-CN"/>
                    </w:rPr>
                    <w:t>2</w:t>
                  </w:r>
                  <w:r>
                    <w:rPr>
                      <w:szCs w:val="21"/>
                    </w:rPr>
                    <w:t>类</w:t>
                  </w:r>
                </w:p>
              </w:tc>
              <w:tc>
                <w:tcPr>
                  <w:tcW w:w="2796" w:type="dxa"/>
                  <w:vAlign w:val="top"/>
                </w:tcPr>
                <w:p>
                  <w:pPr>
                    <w:spacing w:line="360" w:lineRule="auto"/>
                    <w:jc w:val="center"/>
                    <w:rPr>
                      <w:szCs w:val="21"/>
                    </w:rPr>
                  </w:pPr>
                  <w:r>
                    <w:rPr>
                      <w:rFonts w:hint="eastAsia"/>
                      <w:szCs w:val="21"/>
                      <w:lang w:val="en-US" w:eastAsia="zh-CN"/>
                    </w:rPr>
                    <w:t>60</w:t>
                  </w:r>
                </w:p>
              </w:tc>
              <w:tc>
                <w:tcPr>
                  <w:tcW w:w="2797" w:type="dxa"/>
                  <w:vAlign w:val="top"/>
                </w:tcPr>
                <w:p>
                  <w:pPr>
                    <w:spacing w:line="360" w:lineRule="auto"/>
                    <w:jc w:val="center"/>
                    <w:rPr>
                      <w:szCs w:val="21"/>
                    </w:rPr>
                  </w:pPr>
                  <w:r>
                    <w:rPr>
                      <w:rFonts w:hint="eastAsia"/>
                      <w:szCs w:val="21"/>
                      <w:lang w:val="en-US" w:eastAsia="zh-CN"/>
                    </w:rPr>
                    <w:t>50</w:t>
                  </w:r>
                </w:p>
              </w:tc>
            </w:tr>
          </w:tbl>
          <w:p>
            <w:pPr>
              <w:pStyle w:val="1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37" w:hRule="atLeast"/>
          <w:jc w:val="center"/>
        </w:trPr>
        <w:tc>
          <w:tcPr>
            <w:tcW w:w="675" w:type="dxa"/>
            <w:vAlign w:val="center"/>
          </w:tcPr>
          <w:p>
            <w:pPr>
              <w:adjustRightInd w:val="0"/>
              <w:snapToGrid w:val="0"/>
              <w:rPr>
                <w:sz w:val="24"/>
              </w:rPr>
            </w:pPr>
          </w:p>
        </w:tc>
        <w:tc>
          <w:tcPr>
            <w:tcW w:w="8635" w:type="dxa"/>
            <w:vAlign w:val="center"/>
          </w:tcPr>
          <w:p>
            <w:pPr>
              <w:spacing w:line="360" w:lineRule="auto"/>
              <w:rPr>
                <w:b/>
                <w:sz w:val="24"/>
              </w:rPr>
            </w:pPr>
            <w:r>
              <w:rPr>
                <w:b/>
                <w:sz w:val="24"/>
              </w:rPr>
              <w:t>4、固体废物</w:t>
            </w:r>
          </w:p>
          <w:p>
            <w:pPr>
              <w:spacing w:line="360" w:lineRule="auto"/>
              <w:ind w:firstLine="480" w:firstLineChars="200"/>
              <w:rPr>
                <w:rFonts w:hint="eastAsia" w:eastAsia="宋体"/>
                <w:sz w:val="24"/>
                <w:lang w:eastAsia="zh-CN"/>
              </w:rPr>
            </w:pPr>
            <w:r>
              <w:rPr>
                <w:sz w:val="24"/>
              </w:rPr>
              <w:t>一般工业固体废物执行《一般工业固体废物贮存、处置场污染控制标准》(GB18599-2001)及2013年修改单中要求，危险废物执行《危险废物贮存污染控制标准》(GB18597-2001)及2013年修改单中要求；生活垃圾执行《生活垃圾填埋污染物控制标准》（GB16889-2008）</w:t>
            </w:r>
            <w:r>
              <w:rPr>
                <w:rFonts w:hint="eastAsia"/>
                <w:sz w:val="24"/>
                <w:lang w:eastAsia="zh-CN"/>
              </w:rPr>
              <w:t>。</w:t>
            </w:r>
          </w:p>
          <w:p>
            <w:pPr>
              <w:pStyle w:val="12"/>
            </w:pPr>
          </w:p>
          <w:p>
            <w:pPr>
              <w:pStyle w:val="12"/>
            </w:pPr>
          </w:p>
          <w:p>
            <w:pPr>
              <w:pStyle w:val="12"/>
            </w:pPr>
          </w:p>
          <w:p>
            <w:pPr>
              <w:pStyle w:val="12"/>
            </w:pPr>
          </w:p>
          <w:p>
            <w:pPr>
              <w:pStyle w:val="1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675" w:type="dxa"/>
            <w:vAlign w:val="center"/>
          </w:tcPr>
          <w:p>
            <w:pPr>
              <w:adjustRightInd w:val="0"/>
              <w:snapToGrid w:val="0"/>
              <w:jc w:val="center"/>
              <w:rPr>
                <w:sz w:val="24"/>
              </w:rPr>
            </w:pPr>
            <w:r>
              <w:rPr>
                <w:sz w:val="24"/>
              </w:rPr>
              <w:t>建议总量控制指标</w:t>
            </w:r>
          </w:p>
        </w:tc>
        <w:tc>
          <w:tcPr>
            <w:tcW w:w="8635" w:type="dxa"/>
            <w:vAlign w:val="center"/>
          </w:tcPr>
          <w:p>
            <w:pPr>
              <w:spacing w:line="360" w:lineRule="auto"/>
              <w:ind w:firstLine="480" w:firstLineChars="200"/>
              <w:rPr>
                <w:sz w:val="24"/>
              </w:rPr>
            </w:pPr>
            <w:r>
              <w:rPr>
                <w:sz w:val="24"/>
              </w:rPr>
              <w:t>污染物排放实施总量控制是执行环保管理目标责任制的基本原则之一，本环评结合环保管理要求，对项目主要污染物的排放量进行总量控制分析，按照国家和湖南省环保厅的要求，“十三五”期间，国家实施总量控制的主要污染物共5项，其中空气污染物3项（NOx、SO</w:t>
            </w:r>
            <w:r>
              <w:rPr>
                <w:sz w:val="24"/>
                <w:vertAlign w:val="subscript"/>
              </w:rPr>
              <w:t>2</w:t>
            </w:r>
            <w:r>
              <w:rPr>
                <w:sz w:val="24"/>
              </w:rPr>
              <w:t>、VOC</w:t>
            </w:r>
            <w:r>
              <w:rPr>
                <w:sz w:val="24"/>
                <w:vertAlign w:val="subscript"/>
              </w:rPr>
              <w:t>s</w:t>
            </w:r>
            <w:r>
              <w:rPr>
                <w:sz w:val="24"/>
              </w:rPr>
              <w:t>），水污染物2项（COD、NH</w:t>
            </w:r>
            <w:r>
              <w:rPr>
                <w:sz w:val="24"/>
                <w:vertAlign w:val="subscript"/>
              </w:rPr>
              <w:t>3</w:t>
            </w:r>
            <w:r>
              <w:rPr>
                <w:sz w:val="24"/>
              </w:rPr>
              <w:t>-N）。</w:t>
            </w:r>
          </w:p>
          <w:p>
            <w:pPr>
              <w:spacing w:line="360" w:lineRule="auto"/>
              <w:ind w:firstLine="480" w:firstLineChars="200"/>
              <w:rPr>
                <w:sz w:val="24"/>
              </w:rPr>
            </w:pPr>
            <w:r>
              <w:rPr>
                <w:sz w:val="24"/>
              </w:rPr>
              <w:t>本项目废气中无二氧化硫、氮氧化物产生，无生产废水产生。生活污水经化粪池处理后，</w:t>
            </w:r>
            <w:r>
              <w:rPr>
                <w:rFonts w:hint="eastAsia"/>
                <w:sz w:val="24"/>
                <w:lang w:eastAsia="zh-CN"/>
              </w:rPr>
              <w:t>用作农肥</w:t>
            </w:r>
            <w:r>
              <w:rPr>
                <w:sz w:val="24"/>
              </w:rPr>
              <w:t>。</w:t>
            </w:r>
          </w:p>
          <w:p>
            <w:pPr>
              <w:spacing w:line="360" w:lineRule="auto"/>
              <w:rPr>
                <w:rFonts w:hint="eastAsia" w:eastAsia="宋体"/>
                <w:b/>
                <w:sz w:val="24"/>
                <w:lang w:val="en-US" w:eastAsia="zh-CN"/>
              </w:rPr>
            </w:pPr>
            <w:r>
              <w:rPr>
                <w:rFonts w:hint="eastAsia"/>
                <w:b/>
                <w:sz w:val="24"/>
                <w:lang w:val="en-US" w:eastAsia="zh-CN"/>
              </w:rPr>
              <w:t xml:space="preserve">   </w:t>
            </w:r>
            <w:r>
              <w:rPr>
                <w:rFonts w:hint="eastAsia"/>
                <w:b w:val="0"/>
                <w:bCs/>
                <w:sz w:val="24"/>
                <w:lang w:val="en-US" w:eastAsia="zh-CN"/>
              </w:rPr>
              <w:t>因此本项目不设置总量控制指标。</w:t>
            </w:r>
          </w:p>
          <w:p>
            <w:pPr>
              <w:pStyle w:val="12"/>
            </w:pPr>
          </w:p>
          <w:p>
            <w:pPr>
              <w:pStyle w:val="12"/>
            </w:pPr>
          </w:p>
          <w:p>
            <w:pPr>
              <w:pStyle w:val="13"/>
            </w:pPr>
            <w:bookmarkStart w:id="83" w:name="_GoBack"/>
            <w:bookmarkEnd w:id="83"/>
          </w:p>
          <w:p>
            <w:pPr>
              <w:pStyle w:val="12"/>
            </w:pPr>
          </w:p>
          <w:p>
            <w:pPr>
              <w:pStyle w:val="12"/>
            </w:pPr>
          </w:p>
          <w:p>
            <w:pPr>
              <w:pStyle w:val="12"/>
            </w:pPr>
          </w:p>
          <w:p>
            <w:pPr>
              <w:pStyle w:val="12"/>
            </w:pPr>
          </w:p>
          <w:p>
            <w:pPr>
              <w:pStyle w:val="12"/>
            </w:pPr>
          </w:p>
          <w:p>
            <w:pPr>
              <w:pStyle w:val="12"/>
            </w:pPr>
          </w:p>
          <w:p>
            <w:pPr>
              <w:pStyle w:val="12"/>
            </w:pPr>
          </w:p>
          <w:p>
            <w:pPr>
              <w:pStyle w:val="12"/>
            </w:pPr>
          </w:p>
        </w:tc>
      </w:tr>
    </w:tbl>
    <w:p>
      <w:pPr>
        <w:pageBreakBefore/>
        <w:spacing w:line="600" w:lineRule="exact"/>
        <w:outlineLvl w:val="0"/>
        <w:rPr>
          <w:b/>
          <w:sz w:val="32"/>
          <w:szCs w:val="32"/>
        </w:rPr>
      </w:pPr>
      <w:bookmarkStart w:id="40" w:name="_Toc262108309"/>
      <w:bookmarkStart w:id="41" w:name="_Toc514143749"/>
      <w:bookmarkStart w:id="42" w:name="_Toc263088954"/>
      <w:bookmarkStart w:id="43" w:name="_Toc263089101"/>
      <w:r>
        <w:rPr>
          <w:rFonts w:ascii="Times New Roman" w:hAnsi="Times New Roman" w:eastAsia="宋体" w:cs="Times New Roman"/>
          <w:b/>
          <w:kern w:val="2"/>
          <w:sz w:val="32"/>
          <w:szCs w:val="32"/>
          <w:lang w:val="en-US" w:eastAsia="zh-CN" w:bidi="ar-SA"/>
        </w:rPr>
        <w:pict>
          <v:rect id="矩形 62" o:spid="_x0000_s2051" o:spt="1" style="position:absolute;left:0pt;margin-left:-9pt;margin-top:1045.2pt;height:23.4pt;width:81.15pt;z-index:25165824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240" w:firstLineChars="100"/>
                    <w:rPr>
                      <w:sz w:val="24"/>
                    </w:rPr>
                  </w:pPr>
                  <w:r>
                    <w:rPr>
                      <w:rFonts w:hint="eastAsia"/>
                      <w:sz w:val="24"/>
                    </w:rPr>
                    <w:t>过滤机</w:t>
                  </w:r>
                </w:p>
              </w:txbxContent>
            </v:textbox>
          </v:rect>
        </w:pict>
      </w:r>
      <w:bookmarkStart w:id="44" w:name="_Toc457203516"/>
      <w:r>
        <w:rPr>
          <w:b/>
          <w:sz w:val="32"/>
          <w:szCs w:val="32"/>
        </w:rPr>
        <w:t>五、建设项目工程分析</w:t>
      </w:r>
      <w:bookmarkEnd w:id="40"/>
      <w:bookmarkEnd w:id="41"/>
      <w:bookmarkEnd w:id="42"/>
      <w:bookmarkEnd w:id="43"/>
      <w:bookmarkEnd w:id="44"/>
    </w:p>
    <w:tbl>
      <w:tblPr>
        <w:tblStyle w:val="38"/>
        <w:tblW w:w="93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07" w:hRule="atLeast"/>
        </w:trPr>
        <w:tc>
          <w:tcPr>
            <w:tcW w:w="9310" w:type="dxa"/>
            <w:vAlign w:val="top"/>
          </w:tcPr>
          <w:p>
            <w:pPr>
              <w:spacing w:line="360" w:lineRule="auto"/>
              <w:rPr>
                <w:b/>
                <w:sz w:val="24"/>
              </w:rPr>
            </w:pPr>
            <w:bookmarkStart w:id="45" w:name="_Toc263088955"/>
            <w:bookmarkStart w:id="46" w:name="_Toc263089102"/>
            <w:bookmarkStart w:id="47" w:name="_Toc262108310"/>
            <w:r>
              <w:rPr>
                <w:b/>
                <w:bCs/>
                <w:sz w:val="30"/>
                <w:szCs w:val="30"/>
              </w:rPr>
              <w:tab/>
            </w:r>
            <w:r>
              <w:rPr>
                <w:b/>
                <w:sz w:val="24"/>
              </w:rPr>
              <w:t>工艺流程简述（图示）</w:t>
            </w:r>
          </w:p>
          <w:p>
            <w:pPr>
              <w:spacing w:line="360" w:lineRule="auto"/>
              <w:ind w:firstLine="361" w:firstLineChars="150"/>
              <w:rPr>
                <w:b/>
                <w:sz w:val="24"/>
              </w:rPr>
            </w:pPr>
            <w:r>
              <w:rPr>
                <w:b/>
                <w:sz w:val="24"/>
              </w:rPr>
              <w:t>（一）施工期工程分析</w:t>
            </w:r>
          </w:p>
          <w:p>
            <w:pPr>
              <w:spacing w:line="360" w:lineRule="auto"/>
              <w:ind w:firstLine="480" w:firstLineChars="200"/>
              <w:rPr>
                <w:sz w:val="24"/>
              </w:rPr>
            </w:pPr>
            <w:r>
              <w:rPr>
                <w:sz w:val="24"/>
              </w:rPr>
              <w:t>本项目的实施主要分为施工期、运营期两个阶段。</w:t>
            </w:r>
            <w:r>
              <w:rPr>
                <w:rFonts w:hint="eastAsia"/>
                <w:sz w:val="24"/>
              </w:rPr>
              <w:t>根据</w:t>
            </w:r>
            <w:r>
              <w:rPr>
                <w:sz w:val="24"/>
              </w:rPr>
              <w:t>现场调查，标准厂房已</w:t>
            </w:r>
            <w:r>
              <w:rPr>
                <w:rFonts w:hint="eastAsia"/>
                <w:sz w:val="24"/>
              </w:rPr>
              <w:t>建设</w:t>
            </w:r>
            <w:r>
              <w:rPr>
                <w:sz w:val="24"/>
              </w:rPr>
              <w:t>完成，施工期</w:t>
            </w:r>
            <w:r>
              <w:rPr>
                <w:rFonts w:hint="eastAsia"/>
                <w:sz w:val="24"/>
              </w:rPr>
              <w:t>主要</w:t>
            </w:r>
            <w:r>
              <w:rPr>
                <w:sz w:val="24"/>
              </w:rPr>
              <w:t>为设备的</w:t>
            </w:r>
            <w:r>
              <w:rPr>
                <w:rFonts w:hint="eastAsia"/>
                <w:sz w:val="24"/>
              </w:rPr>
              <w:t>安装</w:t>
            </w:r>
            <w:r>
              <w:rPr>
                <w:sz w:val="24"/>
              </w:rPr>
              <w:t>，</w:t>
            </w:r>
            <w:r>
              <w:rPr>
                <w:rFonts w:hint="eastAsia"/>
                <w:sz w:val="24"/>
              </w:rPr>
              <w:t>且</w:t>
            </w:r>
            <w:r>
              <w:rPr>
                <w:sz w:val="24"/>
              </w:rPr>
              <w:t>无大型设备</w:t>
            </w:r>
            <w:r>
              <w:rPr>
                <w:rFonts w:hint="eastAsia"/>
                <w:sz w:val="24"/>
              </w:rPr>
              <w:t>。</w:t>
            </w:r>
            <w:r>
              <w:rPr>
                <w:sz w:val="24"/>
              </w:rPr>
              <w:t>故本项目不对施工</w:t>
            </w:r>
            <w:r>
              <w:rPr>
                <w:rFonts w:hint="eastAsia"/>
                <w:sz w:val="24"/>
              </w:rPr>
              <w:t>期</w:t>
            </w:r>
            <w:r>
              <w:rPr>
                <w:sz w:val="24"/>
              </w:rPr>
              <w:t>进行分析。本次环评只对项目运营期进行分析。</w:t>
            </w:r>
          </w:p>
          <w:p>
            <w:pPr>
              <w:tabs>
                <w:tab w:val="left" w:pos="1260"/>
                <w:tab w:val="left" w:pos="3420"/>
              </w:tabs>
              <w:spacing w:line="360" w:lineRule="auto"/>
              <w:ind w:firstLine="482" w:firstLineChars="200"/>
              <w:rPr>
                <w:sz w:val="24"/>
              </w:rPr>
            </w:pPr>
            <w:r>
              <w:rPr>
                <w:b/>
                <w:sz w:val="24"/>
              </w:rPr>
              <w:t>（二）运营期工艺流程简述</w:t>
            </w:r>
          </w:p>
          <w:p>
            <w:pPr>
              <w:spacing w:line="360" w:lineRule="auto"/>
              <w:ind w:firstLine="482" w:firstLineChars="200"/>
              <w:rPr>
                <w:b/>
                <w:bCs/>
                <w:sz w:val="24"/>
              </w:rPr>
            </w:pPr>
            <w:r>
              <w:rPr>
                <w:b/>
                <w:bCs/>
                <w:sz w:val="24"/>
              </w:rPr>
              <w:t>1、运营期工艺流程简述：</w:t>
            </w:r>
          </w:p>
          <w:p>
            <w:pPr>
              <w:pStyle w:val="12"/>
              <w:spacing w:line="360" w:lineRule="auto"/>
              <w:ind w:firstLine="482" w:firstLineChars="200"/>
              <w:rPr>
                <w:b/>
              </w:rPr>
            </w:pPr>
            <w:r>
              <w:rPr>
                <w:b/>
              </w:rPr>
              <w:t>（1）工艺流程及产污节点图</w:t>
            </w:r>
          </w:p>
          <w:p>
            <w:pPr>
              <w:pStyle w:val="12"/>
              <w:spacing w:line="360" w:lineRule="auto"/>
              <w:ind w:firstLine="480" w:firstLineChars="200"/>
              <w:jc w:val="center"/>
              <w:rPr>
                <w:b/>
                <w:sz w:val="21"/>
                <w:szCs w:val="21"/>
              </w:rPr>
            </w:pPr>
            <w:r>
              <w:rPr>
                <w:rFonts w:ascii="Times New Roman" w:hAnsi="Times New Roman" w:eastAsia="宋体" w:cs="Times New Roman"/>
                <w:kern w:val="2"/>
                <w:sz w:val="24"/>
                <w:szCs w:val="24"/>
                <w:lang w:val="en-US" w:eastAsia="zh-CN" w:bidi="ar-SA"/>
              </w:rPr>
              <w:pict>
                <v:shape id="_x0000_i1025" o:spt="75" type="#_x0000_t75" style="height:129.75pt;width:427.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r>
              <w:rPr>
                <w:b/>
                <w:sz w:val="21"/>
                <w:szCs w:val="21"/>
              </w:rPr>
              <w:t>图5-1</w:t>
            </w:r>
            <w:r>
              <w:rPr>
                <w:rFonts w:hint="eastAsia"/>
                <w:b/>
                <w:sz w:val="21"/>
                <w:szCs w:val="21"/>
              </w:rPr>
              <w:t>扳手</w:t>
            </w:r>
            <w:r>
              <w:rPr>
                <w:b/>
                <w:sz w:val="21"/>
                <w:szCs w:val="21"/>
              </w:rPr>
              <w:t>工艺流程及产污环节示意图</w:t>
            </w:r>
          </w:p>
          <w:p>
            <w:pPr>
              <w:pStyle w:val="12"/>
              <w:spacing w:line="360" w:lineRule="auto"/>
              <w:rPr>
                <w:b/>
              </w:rPr>
            </w:pPr>
            <w:r>
              <w:rPr>
                <w:b/>
              </w:rPr>
              <w:t>项目主要工艺流程说明：</w:t>
            </w:r>
          </w:p>
          <w:p>
            <w:pPr>
              <w:pStyle w:val="12"/>
              <w:spacing w:line="360" w:lineRule="auto"/>
              <w:ind w:firstLine="480" w:firstLineChars="200"/>
              <w:rPr>
                <w:rFonts w:ascii="宋体" w:hAnsi="宋体" w:cs="宋体"/>
              </w:rPr>
            </w:pPr>
            <w:r>
              <w:rPr>
                <w:rFonts w:hint="eastAsia" w:ascii="宋体" w:hAnsi="宋体" w:cs="宋体"/>
              </w:rPr>
              <w:t>外购</w:t>
            </w:r>
            <w:r>
              <w:rPr>
                <w:rFonts w:ascii="宋体" w:hAnsi="宋体" w:cs="宋体"/>
              </w:rPr>
              <w:t>的</w:t>
            </w:r>
            <w:r>
              <w:rPr>
                <w:rFonts w:hint="eastAsia" w:ascii="宋体" w:hAnsi="宋体" w:cs="宋体"/>
                <w:lang w:eastAsia="zh-CN"/>
              </w:rPr>
              <w:t>钢材</w:t>
            </w:r>
            <w:r>
              <w:rPr>
                <w:rFonts w:ascii="宋体" w:hAnsi="宋体" w:cs="宋体"/>
              </w:rPr>
              <w:t>进</w:t>
            </w:r>
            <w:r>
              <w:rPr>
                <w:rFonts w:hint="eastAsia" w:ascii="宋体" w:hAnsi="宋体" w:cs="宋体"/>
              </w:rPr>
              <w:t>厂</w:t>
            </w:r>
            <w:r>
              <w:rPr>
                <w:rFonts w:ascii="宋体" w:hAnsi="宋体" w:cs="宋体"/>
              </w:rPr>
              <w:t>后</w:t>
            </w:r>
            <w:r>
              <w:rPr>
                <w:rFonts w:hint="eastAsia" w:ascii="宋体" w:hAnsi="宋体" w:cs="宋体"/>
              </w:rPr>
              <w:t>首先</w:t>
            </w:r>
            <w:r>
              <w:rPr>
                <w:rFonts w:ascii="宋体" w:hAnsi="宋体" w:cs="宋体"/>
              </w:rPr>
              <w:t>进行断料，</w:t>
            </w:r>
            <w:r>
              <w:rPr>
                <w:rFonts w:hint="eastAsia" w:ascii="宋体" w:hAnsi="宋体" w:cs="宋体"/>
              </w:rPr>
              <w:t>然后</w:t>
            </w:r>
            <w:r>
              <w:rPr>
                <w:rFonts w:ascii="宋体" w:hAnsi="宋体" w:cs="宋体"/>
              </w:rPr>
              <w:t>将砂料高速喷射到断料表面，</w:t>
            </w:r>
            <w:r>
              <w:rPr>
                <w:rFonts w:hint="eastAsia" w:ascii="宋体" w:hAnsi="宋体" w:cs="宋体"/>
              </w:rPr>
              <w:t>将</w:t>
            </w:r>
            <w:r>
              <w:rPr>
                <w:rFonts w:hint="eastAsia" w:ascii="宋体" w:hAnsi="宋体" w:cs="宋体"/>
                <w:lang w:eastAsia="zh-CN"/>
              </w:rPr>
              <w:t>钢材</w:t>
            </w:r>
            <w:r>
              <w:rPr>
                <w:rFonts w:ascii="宋体" w:hAnsi="宋体" w:cs="宋体"/>
              </w:rPr>
              <w:t>断料获得一定的清洁度好不同的粗糙度。</w:t>
            </w:r>
            <w:r>
              <w:rPr>
                <w:rFonts w:hint="eastAsia" w:ascii="宋体" w:hAnsi="宋体" w:cs="宋体"/>
                <w:lang w:eastAsia="zh-CN"/>
              </w:rPr>
              <w:t>抛丸</w:t>
            </w:r>
            <w:r>
              <w:rPr>
                <w:rFonts w:hint="eastAsia" w:ascii="宋体" w:hAnsi="宋体" w:cs="宋体"/>
              </w:rPr>
              <w:t>过后</w:t>
            </w:r>
            <w:r>
              <w:rPr>
                <w:rFonts w:ascii="宋体" w:hAnsi="宋体" w:cs="宋体"/>
              </w:rPr>
              <w:t>的</w:t>
            </w:r>
            <w:r>
              <w:rPr>
                <w:rFonts w:hint="eastAsia" w:ascii="宋体" w:hAnsi="宋体" w:cs="宋体"/>
                <w:lang w:eastAsia="zh-CN"/>
              </w:rPr>
              <w:t>钢材</w:t>
            </w:r>
            <w:r>
              <w:rPr>
                <w:rFonts w:ascii="宋体" w:hAnsi="宋体" w:cs="宋体"/>
              </w:rPr>
              <w:t>断料经过加热（</w:t>
            </w:r>
            <w:r>
              <w:rPr>
                <w:rFonts w:hint="eastAsia" w:ascii="宋体" w:hAnsi="宋体" w:cs="宋体"/>
              </w:rPr>
              <w:t>中频炉</w:t>
            </w:r>
            <w:r>
              <w:rPr>
                <w:rFonts w:ascii="宋体" w:hAnsi="宋体" w:cs="宋体"/>
              </w:rPr>
              <w:t>电加热）</w:t>
            </w:r>
            <w:r>
              <w:rPr>
                <w:rFonts w:hint="eastAsia" w:ascii="宋体" w:hAnsi="宋体" w:cs="宋体"/>
              </w:rPr>
              <w:t>，再</w:t>
            </w:r>
            <w:r>
              <w:rPr>
                <w:rFonts w:ascii="宋体" w:hAnsi="宋体" w:cs="宋体"/>
              </w:rPr>
              <w:t>经过扎机塑型，然后通过压力机对其进行冲压成型，接着切边后形成具有一定雏形的扳手。</w:t>
            </w:r>
          </w:p>
          <w:p>
            <w:pPr>
              <w:widowControl/>
              <w:adjustRightInd w:val="0"/>
              <w:snapToGrid w:val="0"/>
              <w:spacing w:line="360" w:lineRule="auto"/>
              <w:ind w:firstLine="480" w:firstLineChars="200"/>
              <w:rPr>
                <w:sz w:val="24"/>
                <w:u w:val="none"/>
              </w:rPr>
            </w:pPr>
            <w:r>
              <w:rPr>
                <w:rFonts w:hint="eastAsia" w:ascii="宋体" w:hAnsi="宋体" w:cs="宋体"/>
                <w:sz w:val="24"/>
                <w:u w:val="none"/>
              </w:rPr>
              <w:t>根据</w:t>
            </w:r>
            <w:r>
              <w:rPr>
                <w:rFonts w:ascii="宋体" w:hAnsi="宋体" w:cs="宋体"/>
                <w:sz w:val="24"/>
                <w:u w:val="none"/>
              </w:rPr>
              <w:t>产品需求，将得到的</w:t>
            </w:r>
            <w:r>
              <w:rPr>
                <w:rFonts w:hint="eastAsia" w:ascii="宋体" w:hAnsi="宋体" w:cs="宋体"/>
                <w:sz w:val="24"/>
                <w:u w:val="none"/>
              </w:rPr>
              <w:t>雏形扳手</w:t>
            </w:r>
            <w:r>
              <w:rPr>
                <w:rFonts w:ascii="宋体" w:hAnsi="宋体" w:cs="宋体"/>
                <w:sz w:val="24"/>
                <w:u w:val="none"/>
              </w:rPr>
              <w:t>进行冲梅花</w:t>
            </w:r>
            <w:r>
              <w:rPr>
                <w:rFonts w:hint="eastAsia" w:ascii="宋体" w:hAnsi="宋体" w:cs="宋体"/>
                <w:sz w:val="24"/>
                <w:u w:val="none"/>
              </w:rPr>
              <w:t>、</w:t>
            </w:r>
            <w:r>
              <w:rPr>
                <w:rFonts w:ascii="宋体" w:hAnsi="宋体" w:cs="宋体"/>
                <w:sz w:val="24"/>
                <w:u w:val="none"/>
              </w:rPr>
              <w:t>冲开口</w:t>
            </w:r>
            <w:r>
              <w:rPr>
                <w:rFonts w:hint="eastAsia" w:ascii="宋体" w:hAnsi="宋体" w:cs="宋体"/>
                <w:sz w:val="24"/>
                <w:u w:val="none"/>
              </w:rPr>
              <w:t>、</w:t>
            </w:r>
            <w:r>
              <w:rPr>
                <w:rFonts w:ascii="宋体" w:hAnsi="宋体" w:cs="宋体"/>
                <w:sz w:val="24"/>
                <w:u w:val="none"/>
              </w:rPr>
              <w:t>铣、磨等处理</w:t>
            </w:r>
            <w:r>
              <w:rPr>
                <w:rFonts w:hint="eastAsia" w:ascii="宋体" w:hAnsi="宋体" w:cs="宋体"/>
                <w:sz w:val="24"/>
                <w:u w:val="none"/>
              </w:rPr>
              <w:t>,处理后的</w:t>
            </w:r>
            <w:r>
              <w:rPr>
                <w:sz w:val="24"/>
                <w:u w:val="none"/>
              </w:rPr>
              <w:t>扳手</w:t>
            </w:r>
            <w:r>
              <w:rPr>
                <w:rFonts w:hint="eastAsia"/>
                <w:sz w:val="24"/>
                <w:u w:val="none"/>
              </w:rPr>
              <w:t>坯体</w:t>
            </w:r>
            <w:r>
              <w:rPr>
                <w:sz w:val="24"/>
                <w:u w:val="none"/>
              </w:rPr>
              <w:t>进行</w:t>
            </w:r>
            <w:r>
              <w:rPr>
                <w:rFonts w:hint="eastAsia"/>
                <w:sz w:val="24"/>
                <w:u w:val="none"/>
              </w:rPr>
              <w:t>二次</w:t>
            </w:r>
            <w:r>
              <w:rPr>
                <w:rFonts w:hint="eastAsia"/>
                <w:sz w:val="24"/>
                <w:u w:val="none"/>
                <w:lang w:eastAsia="zh-CN"/>
              </w:rPr>
              <w:t>抛丸</w:t>
            </w:r>
            <w:r>
              <w:rPr>
                <w:sz w:val="24"/>
                <w:u w:val="none"/>
              </w:rPr>
              <w:t>、抛光</w:t>
            </w:r>
            <w:r>
              <w:rPr>
                <w:rFonts w:hint="eastAsia"/>
                <w:sz w:val="24"/>
                <w:u w:val="none"/>
              </w:rPr>
              <w:t>、</w:t>
            </w:r>
            <w:r>
              <w:rPr>
                <w:sz w:val="24"/>
                <w:u w:val="none"/>
              </w:rPr>
              <w:t>压字</w:t>
            </w:r>
            <w:r>
              <w:rPr>
                <w:rFonts w:hint="eastAsia"/>
                <w:sz w:val="24"/>
                <w:u w:val="none"/>
              </w:rPr>
              <w:t>、</w:t>
            </w:r>
            <w:r>
              <w:rPr>
                <w:sz w:val="24"/>
                <w:u w:val="none"/>
              </w:rPr>
              <w:t>淬火</w:t>
            </w:r>
            <w:r>
              <w:rPr>
                <w:rFonts w:hint="eastAsia"/>
                <w:sz w:val="24"/>
                <w:u w:val="none"/>
                <w:lang w:eastAsia="zh-CN"/>
              </w:rPr>
              <w:t>（委托周边企业处理）</w:t>
            </w:r>
            <w:r>
              <w:rPr>
                <w:sz w:val="24"/>
                <w:u w:val="none"/>
              </w:rPr>
              <w:t>、研磨等工序，研磨后</w:t>
            </w:r>
            <w:r>
              <w:rPr>
                <w:rFonts w:hint="eastAsia"/>
                <w:sz w:val="24"/>
                <w:u w:val="none"/>
              </w:rPr>
              <w:t>的</w:t>
            </w:r>
            <w:r>
              <w:rPr>
                <w:sz w:val="24"/>
                <w:u w:val="none"/>
              </w:rPr>
              <w:t>扳手进行电镀（委托</w:t>
            </w:r>
            <w:r>
              <w:rPr>
                <w:rFonts w:hint="eastAsia"/>
                <w:sz w:val="24"/>
                <w:u w:val="none"/>
                <w:lang w:eastAsia="zh-CN"/>
              </w:rPr>
              <w:t>邵东市</w:t>
            </w:r>
            <w:r>
              <w:rPr>
                <w:rFonts w:hint="eastAsia"/>
                <w:sz w:val="24"/>
                <w:u w:val="none"/>
              </w:rPr>
              <w:t>和</w:t>
            </w:r>
            <w:r>
              <w:rPr>
                <w:sz w:val="24"/>
                <w:u w:val="none"/>
              </w:rPr>
              <w:t>天电镀工业中心处理），电镀完回来的扳手即可包装外售。</w:t>
            </w:r>
          </w:p>
          <w:p>
            <w:pPr>
              <w:pStyle w:val="12"/>
              <w:spacing w:line="360" w:lineRule="auto"/>
              <w:ind w:firstLine="480" w:firstLineChars="200"/>
            </w:pPr>
            <w:r>
              <w:rPr>
                <w:rFonts w:hint="eastAsia"/>
              </w:rPr>
              <w:t>淬火：</w:t>
            </w:r>
            <w:r>
              <w:t>一般是指将钢加热到临界温度亚共析钢或过共析钢以上的温度，保温一段时间使之全部或部分奥氏体化，然后以大于临界冷却速度的冷速快冷到Ms以下进行马氏体转变的热处理工艺。</w:t>
            </w:r>
            <w:r>
              <w:rPr>
                <w:rFonts w:hint="eastAsia"/>
              </w:rPr>
              <w:t>淬</w:t>
            </w:r>
            <w:r>
              <w:t>火的目的是使过冷奥氏体进行马氏体或贝氏体转变，得到马氏体或贝氏体组织，然后配合以不同温度的回火，以大幅提高刚的刚性、硬度、耐磨性、疲劳强度以及韧性等，从而满足各种机械零件和工具的不同使用要求。将成型的扳手放入沾火炉中进行沾火和回火，以提高其硬度与刚性。本项目</w:t>
            </w:r>
            <w:r>
              <w:rPr>
                <w:rFonts w:hint="eastAsia"/>
              </w:rPr>
              <w:t>委托周边企业</w:t>
            </w:r>
            <w:r>
              <w:rPr>
                <w:rFonts w:hint="eastAsia"/>
                <w:lang w:eastAsia="zh-CN"/>
              </w:rPr>
              <w:t>进行淬火</w:t>
            </w:r>
            <w:r>
              <w:t>。</w:t>
            </w:r>
          </w:p>
          <w:p>
            <w:pPr>
              <w:pStyle w:val="12"/>
              <w:spacing w:line="360" w:lineRule="auto"/>
              <w:ind w:firstLine="480" w:firstLineChars="200"/>
            </w:pPr>
            <w:r>
              <w:rPr>
                <w:rFonts w:hint="eastAsia"/>
              </w:rPr>
              <w:t>抛光：</w:t>
            </w:r>
            <w:r>
              <w:t>是指利用机械、化学或电化学的作用，使工件表面粗糙度降低，以获得光亮、平整表面的加工方法。是利用</w:t>
            </w:r>
            <w:r>
              <w:fldChar w:fldCharType="begin"/>
            </w:r>
            <w:r>
              <w:instrText xml:space="preserve"> HYPERLINK "https://baike.so.com/doc/7631019-7905114.html" \t "https://baike.so.com/doc/_blank" </w:instrText>
            </w:r>
            <w:r>
              <w:fldChar w:fldCharType="separate"/>
            </w:r>
            <w:r>
              <w:t>抛光工具</w:t>
            </w:r>
            <w:r>
              <w:fldChar w:fldCharType="end"/>
            </w:r>
            <w:r>
              <w:t>和磨料颗粒或其他抛光介质对</w:t>
            </w:r>
            <w:r>
              <w:fldChar w:fldCharType="begin"/>
            </w:r>
            <w:r>
              <w:instrText xml:space="preserve"> HYPERLINK "https://baike.so.com/doc/5350475-5585931.html" \t "https://baike.so.com/doc/_blank" </w:instrText>
            </w:r>
            <w:r>
              <w:fldChar w:fldCharType="separate"/>
            </w:r>
            <w:r>
              <w:t>工件</w:t>
            </w:r>
            <w:r>
              <w:fldChar w:fldCharType="end"/>
            </w:r>
            <w:r>
              <w:t>表面进行的修饰加工。抛光不能提高工件的尺寸精度或几何形状精度，而是以得到</w:t>
            </w:r>
            <w:r>
              <w:fldChar w:fldCharType="begin"/>
            </w:r>
            <w:r>
              <w:instrText xml:space="preserve"> HYPERLINK "https://baike.so.com/doc/2350451-2485659.html" \t "https://baike.so.com/doc/_blank" </w:instrText>
            </w:r>
            <w:r>
              <w:fldChar w:fldCharType="separate"/>
            </w:r>
            <w:r>
              <w:t>光滑</w:t>
            </w:r>
            <w:r>
              <w:fldChar w:fldCharType="end"/>
            </w:r>
            <w:r>
              <w:t>表面或</w:t>
            </w:r>
            <w:r>
              <w:fldChar w:fldCharType="begin"/>
            </w:r>
            <w:r>
              <w:instrText xml:space="preserve"> HYPERLINK "https://baike.so.com/doc/1197682-1266903.html" \t "https://baike.so.com/doc/_blank" </w:instrText>
            </w:r>
            <w:r>
              <w:fldChar w:fldCharType="separate"/>
            </w:r>
            <w:r>
              <w:t>镜面</w:t>
            </w:r>
            <w:r>
              <w:fldChar w:fldCharType="end"/>
            </w:r>
            <w:r>
              <w:t>光泽为目的，有时也用以消除光泽(</w:t>
            </w:r>
            <w:r>
              <w:fldChar w:fldCharType="begin"/>
            </w:r>
            <w:r>
              <w:instrText xml:space="preserve"> HYPERLINK "https://baike.so.com/doc/5890176-6103061.html" \t "https://baike.so.com/doc/_blank" </w:instrText>
            </w:r>
            <w:r>
              <w:fldChar w:fldCharType="separate"/>
            </w:r>
            <w:r>
              <w:t>消光</w:t>
            </w:r>
            <w:r>
              <w:fldChar w:fldCharType="end"/>
            </w:r>
            <w:r>
              <w:t>)</w:t>
            </w:r>
            <w:r>
              <w:rPr>
                <w:rFonts w:hint="eastAsia"/>
              </w:rPr>
              <w:t>。</w:t>
            </w:r>
            <w:r>
              <w:t>该过程</w:t>
            </w:r>
            <w:r>
              <w:rPr>
                <w:rFonts w:hint="eastAsia"/>
              </w:rPr>
              <w:t>会使用</w:t>
            </w:r>
            <w:r>
              <w:t>布轮粘砂胶和砂子</w:t>
            </w:r>
            <w:r>
              <w:rPr>
                <w:rFonts w:hint="eastAsia"/>
              </w:rPr>
              <w:t>扳手经旋转</w:t>
            </w:r>
            <w:r>
              <w:t>摩擦，将毛刺依附在石</w:t>
            </w:r>
            <w:r>
              <w:rPr>
                <w:rFonts w:hint="eastAsia"/>
              </w:rPr>
              <w:t>头</w:t>
            </w:r>
            <w:r>
              <w:t>上，</w:t>
            </w:r>
            <w:r>
              <w:rPr>
                <w:rFonts w:hint="eastAsia"/>
              </w:rPr>
              <w:t>使扳手</w:t>
            </w:r>
            <w:r>
              <w:t>表面粗糙度降低，变得光亮。</w:t>
            </w:r>
          </w:p>
          <w:p>
            <w:pPr>
              <w:pStyle w:val="12"/>
              <w:spacing w:line="360" w:lineRule="auto"/>
              <w:ind w:firstLine="480" w:firstLineChars="200"/>
            </w:pPr>
            <w:r>
              <w:rPr>
                <w:rFonts w:hint="eastAsia"/>
              </w:rPr>
              <w:t>研磨：采用振动</w:t>
            </w:r>
            <w:r>
              <w:rPr>
                <w:rFonts w:hint="eastAsia"/>
                <w:lang w:eastAsia="zh-CN"/>
              </w:rPr>
              <w:t>研磨机</w:t>
            </w:r>
            <w:r>
              <w:t>对工件进行表面处理，添加水和砂石后，</w:t>
            </w:r>
            <w:r>
              <w:rPr>
                <w:rFonts w:hint="eastAsia"/>
              </w:rPr>
              <w:t>振动</w:t>
            </w:r>
            <w:r>
              <w:t xml:space="preserve">去除工件表面的氧化皮。 </w:t>
            </w:r>
          </w:p>
          <w:p>
            <w:pPr>
              <w:spacing w:line="360" w:lineRule="auto"/>
              <w:ind w:firstLine="482" w:firstLineChars="200"/>
              <w:rPr>
                <w:b/>
                <w:sz w:val="24"/>
              </w:rPr>
            </w:pPr>
            <w:r>
              <w:rPr>
                <w:b/>
                <w:sz w:val="24"/>
              </w:rPr>
              <w:t>主要污染工序：</w:t>
            </w:r>
          </w:p>
          <w:p>
            <w:pPr>
              <w:tabs>
                <w:tab w:val="left" w:pos="1260"/>
                <w:tab w:val="left" w:pos="3420"/>
              </w:tabs>
              <w:spacing w:line="360" w:lineRule="auto"/>
              <w:ind w:firstLine="482" w:firstLineChars="200"/>
              <w:rPr>
                <w:b/>
                <w:sz w:val="24"/>
              </w:rPr>
            </w:pPr>
            <w:r>
              <w:rPr>
                <w:b/>
                <w:sz w:val="24"/>
              </w:rPr>
              <w:t>（一）营运期主要污染工序</w:t>
            </w:r>
          </w:p>
          <w:p>
            <w:pPr>
              <w:tabs>
                <w:tab w:val="left" w:pos="3130"/>
              </w:tabs>
              <w:spacing w:line="360" w:lineRule="auto"/>
              <w:ind w:firstLine="482" w:firstLineChars="200"/>
              <w:rPr>
                <w:b/>
                <w:sz w:val="24"/>
                <w:lang w:val="zh-CN"/>
              </w:rPr>
            </w:pPr>
            <w:r>
              <w:rPr>
                <w:b/>
                <w:sz w:val="24"/>
                <w:lang w:val="zh-CN"/>
              </w:rPr>
              <w:t>1、废水</w:t>
            </w:r>
          </w:p>
          <w:p>
            <w:pPr>
              <w:tabs>
                <w:tab w:val="left" w:pos="3130"/>
              </w:tabs>
              <w:spacing w:line="360" w:lineRule="auto"/>
              <w:ind w:firstLine="480" w:firstLineChars="200"/>
              <w:rPr>
                <w:sz w:val="24"/>
                <w:lang w:val="zh-CN"/>
              </w:rPr>
            </w:pPr>
            <w:r>
              <w:rPr>
                <w:rFonts w:hint="eastAsia" w:ascii="宋体" w:hAnsi="宋体" w:cs="宋体"/>
                <w:sz w:val="24"/>
                <w:lang w:val="zh-CN"/>
              </w:rPr>
              <w:t>①</w:t>
            </w:r>
            <w:r>
              <w:rPr>
                <w:sz w:val="24"/>
                <w:lang w:val="zh-CN"/>
              </w:rPr>
              <w:t>生活废水</w:t>
            </w:r>
          </w:p>
          <w:p>
            <w:pPr>
              <w:spacing w:line="360" w:lineRule="auto"/>
              <w:ind w:firstLine="480" w:firstLineChars="200"/>
              <w:rPr>
                <w:sz w:val="24"/>
                <w:u w:val="none"/>
              </w:rPr>
            </w:pPr>
            <w:r>
              <w:rPr>
                <w:sz w:val="24"/>
              </w:rPr>
              <w:t>本项目员工50人，均不在厂内食宿。用水量50L/人·d计算，年工作按3</w:t>
            </w:r>
            <w:r>
              <w:rPr>
                <w:rFonts w:hint="eastAsia"/>
                <w:sz w:val="24"/>
                <w:lang w:val="en-US" w:eastAsia="zh-CN"/>
              </w:rPr>
              <w:t>0</w:t>
            </w:r>
            <w:r>
              <w:rPr>
                <w:sz w:val="24"/>
              </w:rPr>
              <w:t>0天计算，则本项目生活用水约</w:t>
            </w:r>
            <w:r>
              <w:rPr>
                <w:rFonts w:hint="eastAsia"/>
                <w:sz w:val="24"/>
                <w:lang w:val="en-US" w:eastAsia="zh-CN"/>
              </w:rPr>
              <w:t>1</w:t>
            </w:r>
            <w:r>
              <w:rPr>
                <w:sz w:val="24"/>
              </w:rPr>
              <w:t>.5m</w:t>
            </w:r>
            <w:r>
              <w:rPr>
                <w:sz w:val="24"/>
                <w:vertAlign w:val="superscript"/>
              </w:rPr>
              <w:t>3</w:t>
            </w:r>
            <w:r>
              <w:rPr>
                <w:sz w:val="24"/>
              </w:rPr>
              <w:t>/d（</w:t>
            </w:r>
            <w:r>
              <w:rPr>
                <w:rFonts w:hint="eastAsia"/>
                <w:sz w:val="24"/>
                <w:lang w:val="en-US" w:eastAsia="zh-CN"/>
              </w:rPr>
              <w:t>450</w:t>
            </w:r>
            <w:r>
              <w:rPr>
                <w:sz w:val="24"/>
              </w:rPr>
              <w:t>m</w:t>
            </w:r>
            <w:r>
              <w:rPr>
                <w:sz w:val="24"/>
                <w:vertAlign w:val="superscript"/>
              </w:rPr>
              <w:t>3</w:t>
            </w:r>
            <w:r>
              <w:rPr>
                <w:sz w:val="24"/>
              </w:rPr>
              <w:t>/a），污水排放按生活用水量的80%计，则项目运营期的排放污水量</w:t>
            </w:r>
            <w:r>
              <w:rPr>
                <w:rFonts w:hint="eastAsia"/>
                <w:sz w:val="24"/>
                <w:lang w:val="en-US" w:eastAsia="zh-CN"/>
              </w:rPr>
              <w:t>1.2</w:t>
            </w:r>
            <w:r>
              <w:rPr>
                <w:sz w:val="24"/>
              </w:rPr>
              <w:t>m</w:t>
            </w:r>
            <w:r>
              <w:rPr>
                <w:sz w:val="24"/>
                <w:vertAlign w:val="superscript"/>
              </w:rPr>
              <w:t>3</w:t>
            </w:r>
            <w:r>
              <w:rPr>
                <w:sz w:val="24"/>
              </w:rPr>
              <w:t>/d（</w:t>
            </w:r>
            <w:r>
              <w:rPr>
                <w:rFonts w:hint="eastAsia"/>
                <w:sz w:val="24"/>
                <w:lang w:val="en-US" w:eastAsia="zh-CN"/>
              </w:rPr>
              <w:t>360</w:t>
            </w:r>
            <w:r>
              <w:rPr>
                <w:sz w:val="24"/>
              </w:rPr>
              <w:t>m</w:t>
            </w:r>
            <w:r>
              <w:rPr>
                <w:sz w:val="24"/>
                <w:vertAlign w:val="superscript"/>
              </w:rPr>
              <w:t>3</w:t>
            </w:r>
            <w:r>
              <w:rPr>
                <w:sz w:val="24"/>
              </w:rPr>
              <w:t>/a）。</w:t>
            </w:r>
            <w:r>
              <w:rPr>
                <w:sz w:val="24"/>
                <w:u w:val="none"/>
              </w:rPr>
              <w:t>本项目产生的生活污水，</w:t>
            </w:r>
            <w:r>
              <w:rPr>
                <w:rFonts w:hint="eastAsia"/>
                <w:sz w:val="24"/>
                <w:u w:val="none"/>
                <w:lang w:eastAsia="zh-CN"/>
              </w:rPr>
              <w:t>经化粪池处理后用作农肥</w:t>
            </w:r>
            <w:r>
              <w:rPr>
                <w:sz w:val="24"/>
                <w:u w:val="none"/>
              </w:rPr>
              <w:t>。</w:t>
            </w:r>
          </w:p>
          <w:p>
            <w:pPr>
              <w:pStyle w:val="12"/>
              <w:spacing w:line="360" w:lineRule="auto"/>
              <w:ind w:firstLine="480" w:firstLineChars="200"/>
            </w:pPr>
            <w:r>
              <w:rPr>
                <w:rFonts w:hint="eastAsia" w:ascii="宋体" w:hAnsi="宋体" w:cs="宋体"/>
              </w:rPr>
              <w:t>②</w:t>
            </w:r>
            <w:r>
              <w:t>生产废水</w:t>
            </w:r>
          </w:p>
          <w:p>
            <w:pPr>
              <w:pStyle w:val="108"/>
              <w:spacing w:line="360" w:lineRule="auto"/>
              <w:ind w:firstLine="480" w:firstLineChars="200"/>
              <w:jc w:val="both"/>
              <w:rPr>
                <w:rFonts w:ascii="Times New Roman" w:hAnsi="Times New Roman" w:cs="Times New Roman"/>
                <w:color w:val="auto"/>
              </w:rPr>
            </w:pPr>
            <w:r>
              <w:rPr>
                <w:rFonts w:hint="eastAsia" w:ascii="Times New Roman" w:hAnsi="Times New Roman" w:cs="Times New Roman"/>
                <w:color w:val="auto"/>
              </w:rPr>
              <w:t>项目运营期</w:t>
            </w:r>
            <w:r>
              <w:rPr>
                <w:rFonts w:ascii="Times New Roman" w:hAnsi="Times New Roman" w:cs="Times New Roman"/>
                <w:color w:val="auto"/>
              </w:rPr>
              <w:t>产生的废水主要是研磨</w:t>
            </w:r>
            <w:r>
              <w:rPr>
                <w:rFonts w:hint="eastAsia" w:ascii="Times New Roman" w:hAnsi="Times New Roman" w:cs="Times New Roman"/>
                <w:color w:val="auto"/>
              </w:rPr>
              <w:t>工序</w:t>
            </w:r>
            <w:r>
              <w:rPr>
                <w:rFonts w:ascii="Times New Roman" w:hAnsi="Times New Roman" w:cs="Times New Roman"/>
                <w:color w:val="auto"/>
              </w:rPr>
              <w:t>，研磨工序是利用</w:t>
            </w:r>
            <w:r>
              <w:rPr>
                <w:rFonts w:hint="eastAsia" w:ascii="Times New Roman" w:hAnsi="Times New Roman" w:cs="Times New Roman"/>
                <w:color w:val="auto"/>
                <w:lang w:eastAsia="zh-CN"/>
              </w:rPr>
              <w:t>研磨机</w:t>
            </w:r>
            <w:r>
              <w:rPr>
                <w:rFonts w:hint="eastAsia" w:ascii="Times New Roman" w:hAnsi="Times New Roman" w:cs="Times New Roman"/>
                <w:color w:val="auto"/>
              </w:rPr>
              <w:t>对</w:t>
            </w:r>
            <w:r>
              <w:rPr>
                <w:rFonts w:ascii="Times New Roman" w:hAnsi="Times New Roman" w:cs="Times New Roman"/>
                <w:color w:val="auto"/>
              </w:rPr>
              <w:t>工件进行表面处理，添加水和砂石后，</w:t>
            </w:r>
            <w:r>
              <w:rPr>
                <w:rFonts w:hint="eastAsia" w:ascii="Times New Roman" w:hAnsi="Times New Roman" w:cs="Times New Roman"/>
                <w:color w:val="auto"/>
              </w:rPr>
              <w:t>振动</w:t>
            </w:r>
            <w:r>
              <w:rPr>
                <w:rFonts w:ascii="Times New Roman" w:hAnsi="Times New Roman" w:cs="Times New Roman"/>
                <w:color w:val="auto"/>
              </w:rPr>
              <w:t>滚动去除工件表面的氧化皮。该</w:t>
            </w:r>
            <w:r>
              <w:rPr>
                <w:rFonts w:hint="eastAsia" w:ascii="Times New Roman" w:hAnsi="Times New Roman" w:cs="Times New Roman"/>
                <w:color w:val="auto"/>
              </w:rPr>
              <w:t>过程</w:t>
            </w:r>
            <w:r>
              <w:rPr>
                <w:rFonts w:ascii="Times New Roman" w:hAnsi="Times New Roman" w:cs="Times New Roman"/>
                <w:color w:val="auto"/>
              </w:rPr>
              <w:t>产生的废水</w:t>
            </w:r>
            <w:r>
              <w:rPr>
                <w:rFonts w:hint="eastAsia" w:ascii="Times New Roman" w:hAnsi="Times New Roman" w:cs="Times New Roman"/>
                <w:color w:val="auto"/>
              </w:rPr>
              <w:t>每次</w:t>
            </w:r>
            <w:r>
              <w:rPr>
                <w:rFonts w:ascii="Times New Roman" w:hAnsi="Times New Roman" w:cs="Times New Roman"/>
                <w:color w:val="auto"/>
              </w:rPr>
              <w:t>添加水量</w:t>
            </w:r>
            <w:r>
              <w:rPr>
                <w:rFonts w:hint="eastAsia" w:ascii="Times New Roman" w:hAnsi="Times New Roman" w:cs="Times New Roman"/>
                <w:color w:val="auto"/>
              </w:rPr>
              <w:t>0.3</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w:t>
            </w:r>
            <w:r>
              <w:rPr>
                <w:rFonts w:hint="eastAsia" w:ascii="Times New Roman" w:hAnsi="Times New Roman" w:cs="Times New Roman"/>
                <w:color w:val="auto"/>
              </w:rPr>
              <w:t>台</w:t>
            </w:r>
            <w:r>
              <w:rPr>
                <w:rFonts w:ascii="Times New Roman" w:hAnsi="Times New Roman" w:cs="Times New Roman"/>
                <w:color w:val="auto"/>
              </w:rPr>
              <w:t>，产生废水量按</w:t>
            </w:r>
            <w:r>
              <w:rPr>
                <w:rFonts w:hint="eastAsia" w:ascii="Times New Roman" w:hAnsi="Times New Roman" w:cs="Times New Roman"/>
                <w:color w:val="auto"/>
              </w:rPr>
              <w:t>0.3</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/次计</w:t>
            </w:r>
            <w:r>
              <w:rPr>
                <w:rFonts w:hint="eastAsia" w:ascii="Times New Roman" w:hAnsi="Times New Roman" w:cs="Times New Roman"/>
                <w:color w:val="auto"/>
              </w:rPr>
              <w:t>，则使用水量</w:t>
            </w:r>
            <w:r>
              <w:rPr>
                <w:rFonts w:hint="eastAsia" w:ascii="Times New Roman" w:hAnsi="Times New Roman" w:cs="Times New Roman"/>
                <w:color w:val="auto"/>
                <w:lang w:val="en-US" w:eastAsia="zh-CN"/>
              </w:rPr>
              <w:t>3</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/d（</w:t>
            </w:r>
            <w:r>
              <w:rPr>
                <w:rFonts w:hint="eastAsia" w:ascii="Times New Roman" w:hAnsi="Times New Roman" w:cs="Times New Roman"/>
                <w:color w:val="auto"/>
                <w:lang w:eastAsia="zh-CN"/>
              </w:rPr>
              <w:t>990</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/a）</w:t>
            </w:r>
            <w:r>
              <w:rPr>
                <w:rFonts w:hint="eastAsia" w:ascii="Times New Roman" w:hAnsi="Times New Roman" w:cs="Times New Roman"/>
                <w:color w:val="auto"/>
              </w:rPr>
              <w:t>，</w:t>
            </w:r>
            <w:r>
              <w:rPr>
                <w:rFonts w:ascii="Times New Roman" w:hAnsi="Times New Roman" w:cs="Times New Roman"/>
                <w:color w:val="auto"/>
              </w:rPr>
              <w:t>研磨废水经沉淀池</w:t>
            </w:r>
            <w:r>
              <w:rPr>
                <w:rFonts w:hint="eastAsia" w:ascii="Times New Roman" w:hAnsi="Times New Roman" w:cs="Times New Roman"/>
                <w:color w:val="auto"/>
              </w:rPr>
              <w:t>（沉淀池10</w:t>
            </w:r>
            <w:r>
              <w:rPr>
                <w:rFonts w:ascii="Times New Roman" w:hAnsi="Times New Roman" w:cs="Times New Roman"/>
                <w:color w:val="auto"/>
              </w:rPr>
              <w:t>m</w:t>
            </w:r>
            <w:r>
              <w:rPr>
                <w:rFonts w:ascii="Times New Roman" w:hAnsi="Times New Roman" w:cs="Times New Roman"/>
                <w:color w:val="auto"/>
                <w:vertAlign w:val="superscript"/>
              </w:rPr>
              <w:t>3</w:t>
            </w:r>
            <w:r>
              <w:rPr>
                <w:rFonts w:hint="eastAsia" w:ascii="Times New Roman" w:hAnsi="Times New Roman" w:cs="Times New Roman"/>
                <w:color w:val="auto"/>
              </w:rPr>
              <w:t>）加以收集</w:t>
            </w:r>
            <w:r>
              <w:rPr>
                <w:rFonts w:ascii="Times New Roman" w:hAnsi="Times New Roman" w:cs="Times New Roman"/>
                <w:color w:val="auto"/>
              </w:rPr>
              <w:t xml:space="preserve">，静置沉淀后循环回用（静置沉淀后，上层清液循环回用， </w:t>
            </w:r>
            <w:r>
              <w:rPr>
                <w:rFonts w:hint="eastAsia" w:ascii="Times New Roman" w:hAnsi="Times New Roman" w:cs="Times New Roman"/>
                <w:color w:val="auto"/>
                <w:lang w:eastAsia="zh-CN"/>
              </w:rPr>
              <w:t>沉渣</w:t>
            </w:r>
            <w:r>
              <w:rPr>
                <w:rFonts w:ascii="Times New Roman" w:hAnsi="Times New Roman" w:cs="Times New Roman"/>
                <w:color w:val="auto"/>
              </w:rPr>
              <w:t xml:space="preserve">作为固废收集），不外排。 </w:t>
            </w:r>
          </w:p>
          <w:p>
            <w:pPr>
              <w:tabs>
                <w:tab w:val="left" w:pos="3130"/>
              </w:tabs>
              <w:spacing w:line="360" w:lineRule="auto"/>
              <w:ind w:firstLine="482" w:firstLineChars="200"/>
              <w:rPr>
                <w:b/>
                <w:bCs/>
                <w:sz w:val="24"/>
              </w:rPr>
            </w:pPr>
            <w:r>
              <w:rPr>
                <w:b/>
                <w:bCs/>
                <w:sz w:val="24"/>
              </w:rPr>
              <w:t>2、废气</w:t>
            </w:r>
          </w:p>
          <w:p>
            <w:pPr>
              <w:spacing w:line="360" w:lineRule="auto"/>
              <w:ind w:firstLine="480" w:firstLineChars="200"/>
              <w:rPr>
                <w:sz w:val="24"/>
              </w:rPr>
            </w:pPr>
            <w:r>
              <w:rPr>
                <w:rFonts w:hint="eastAsia"/>
                <w:sz w:val="24"/>
              </w:rPr>
              <w:t>本项目</w:t>
            </w:r>
            <w:r>
              <w:rPr>
                <w:sz w:val="24"/>
              </w:rPr>
              <w:t>营运期产生废气主要是</w:t>
            </w:r>
            <w:r>
              <w:rPr>
                <w:rFonts w:hint="eastAsia"/>
                <w:sz w:val="24"/>
                <w:lang w:eastAsia="zh-CN"/>
              </w:rPr>
              <w:t>抛丸</w:t>
            </w:r>
            <w:r>
              <w:rPr>
                <w:sz w:val="24"/>
              </w:rPr>
              <w:t>、打磨</w:t>
            </w:r>
            <w:r>
              <w:rPr>
                <w:rFonts w:hint="eastAsia"/>
                <w:sz w:val="24"/>
              </w:rPr>
              <w:t>、抛光工产生</w:t>
            </w:r>
            <w:r>
              <w:rPr>
                <w:sz w:val="24"/>
              </w:rPr>
              <w:t>的</w:t>
            </w:r>
            <w:r>
              <w:rPr>
                <w:rFonts w:hint="eastAsia"/>
                <w:sz w:val="24"/>
              </w:rPr>
              <w:t>粉尘。</w:t>
            </w:r>
          </w:p>
          <w:p>
            <w:pPr>
              <w:spacing w:line="360" w:lineRule="auto"/>
              <w:ind w:firstLine="480" w:firstLineChars="200"/>
              <w:rPr>
                <w:sz w:val="24"/>
              </w:rPr>
            </w:pPr>
            <w:r>
              <w:rPr>
                <w:sz w:val="24"/>
              </w:rPr>
              <w:t>（1）打磨粉尘</w:t>
            </w:r>
          </w:p>
          <w:p>
            <w:pPr>
              <w:spacing w:line="360" w:lineRule="auto"/>
              <w:ind w:firstLine="480" w:firstLineChars="200"/>
              <w:rPr>
                <w:sz w:val="24"/>
              </w:rPr>
            </w:pPr>
            <w:r>
              <w:rPr>
                <w:sz w:val="24"/>
              </w:rPr>
              <w:t>打磨粉尘产生量根据《金属结构制造业产排污系数表》，金属粉尘产生系数为1.523kg/t（产品），项目年</w:t>
            </w:r>
            <w:r>
              <w:rPr>
                <w:rFonts w:hint="eastAsia"/>
                <w:sz w:val="24"/>
              </w:rPr>
              <w:t>生产</w:t>
            </w:r>
            <w:r>
              <w:rPr>
                <w:sz w:val="24"/>
              </w:rPr>
              <w:t>扳手总重</w:t>
            </w:r>
            <w:r>
              <w:rPr>
                <w:rFonts w:hint="eastAsia"/>
                <w:sz w:val="24"/>
                <w:lang w:val="en-US" w:eastAsia="zh-CN"/>
              </w:rPr>
              <w:t>200</w:t>
            </w:r>
            <w:r>
              <w:rPr>
                <w:sz w:val="24"/>
              </w:rPr>
              <w:t>t/a，所以此过程产生的金属粉尘量为</w:t>
            </w:r>
            <w:r>
              <w:rPr>
                <w:rFonts w:hint="eastAsia"/>
                <w:sz w:val="24"/>
                <w:lang w:eastAsia="zh-CN"/>
              </w:rPr>
              <w:t>0.305t</w:t>
            </w:r>
            <w:r>
              <w:rPr>
                <w:sz w:val="24"/>
              </w:rPr>
              <w:t>/a。</w:t>
            </w:r>
            <w:r>
              <w:rPr>
                <w:rFonts w:hint="eastAsia"/>
                <w:sz w:val="24"/>
              </w:rPr>
              <w:t>打磨</w:t>
            </w:r>
            <w:r>
              <w:rPr>
                <w:sz w:val="24"/>
              </w:rPr>
              <w:t>工序</w:t>
            </w:r>
            <w:r>
              <w:rPr>
                <w:rFonts w:hint="eastAsia"/>
                <w:sz w:val="24"/>
              </w:rPr>
              <w:t>采用</w:t>
            </w:r>
            <w:r>
              <w:rPr>
                <w:rFonts w:hint="eastAsia"/>
                <w:sz w:val="24"/>
                <w:lang w:eastAsia="zh-CN"/>
              </w:rPr>
              <w:t>湿法除尘系统处理</w:t>
            </w:r>
            <w:r>
              <w:rPr>
                <w:sz w:val="24"/>
              </w:rPr>
              <w:t>（</w:t>
            </w:r>
            <w:r>
              <w:rPr>
                <w:rFonts w:hint="eastAsia"/>
                <w:sz w:val="24"/>
              </w:rPr>
              <w:t>处理</w:t>
            </w:r>
            <w:r>
              <w:rPr>
                <w:sz w:val="24"/>
              </w:rPr>
              <w:t>效率</w:t>
            </w:r>
            <w:r>
              <w:rPr>
                <w:rFonts w:hint="eastAsia"/>
                <w:sz w:val="24"/>
              </w:rPr>
              <w:t>90</w:t>
            </w:r>
            <w:r>
              <w:rPr>
                <w:sz w:val="24"/>
              </w:rPr>
              <w:t>%计）</w:t>
            </w:r>
            <w:r>
              <w:rPr>
                <w:rFonts w:hint="eastAsia"/>
                <w:sz w:val="24"/>
              </w:rPr>
              <w:t>，本项目打磨</w:t>
            </w:r>
            <w:r>
              <w:rPr>
                <w:sz w:val="24"/>
              </w:rPr>
              <w:t>过程产生的粉尘总产生量为</w:t>
            </w:r>
            <w:r>
              <w:rPr>
                <w:rFonts w:hint="eastAsia"/>
                <w:sz w:val="24"/>
                <w:lang w:eastAsia="zh-CN"/>
              </w:rPr>
              <w:t>0.305t</w:t>
            </w:r>
            <w:r>
              <w:rPr>
                <w:sz w:val="24"/>
              </w:rPr>
              <w:t>/a，其中</w:t>
            </w:r>
            <w:r>
              <w:rPr>
                <w:rFonts w:hint="eastAsia"/>
                <w:sz w:val="24"/>
                <w:lang w:eastAsia="zh-CN"/>
              </w:rPr>
              <w:t>除尘系统收集粉尘</w:t>
            </w:r>
            <w:r>
              <w:rPr>
                <w:sz w:val="24"/>
              </w:rPr>
              <w:t>为</w:t>
            </w:r>
            <w:r>
              <w:rPr>
                <w:rFonts w:hint="eastAsia"/>
                <w:sz w:val="24"/>
                <w:lang w:eastAsia="zh-CN"/>
              </w:rPr>
              <w:t>0.274</w:t>
            </w:r>
            <w:r>
              <w:rPr>
                <w:sz w:val="24"/>
              </w:rPr>
              <w:t>t/a，</w:t>
            </w:r>
            <w:r>
              <w:rPr>
                <w:rFonts w:hint="eastAsia"/>
                <w:sz w:val="24"/>
              </w:rPr>
              <w:t>无组织</w:t>
            </w:r>
            <w:r>
              <w:rPr>
                <w:sz w:val="24"/>
              </w:rPr>
              <w:t>排放粉尘为</w:t>
            </w:r>
            <w:r>
              <w:rPr>
                <w:rFonts w:hint="eastAsia"/>
                <w:sz w:val="24"/>
                <w:lang w:eastAsia="zh-CN"/>
              </w:rPr>
              <w:t>0.031t/a</w:t>
            </w:r>
            <w:r>
              <w:rPr>
                <w:sz w:val="24"/>
              </w:rPr>
              <w:t>。</w:t>
            </w:r>
            <w:r>
              <w:rPr>
                <w:rFonts w:hint="eastAsia"/>
                <w:sz w:val="24"/>
              </w:rPr>
              <w:t>本项目</w:t>
            </w:r>
            <w:r>
              <w:rPr>
                <w:rFonts w:hint="eastAsia"/>
                <w:sz w:val="24"/>
                <w:lang w:eastAsia="zh-CN"/>
              </w:rPr>
              <w:t>打磨</w:t>
            </w:r>
            <w:r>
              <w:rPr>
                <w:sz w:val="24"/>
              </w:rPr>
              <w:t>粉尘经</w:t>
            </w:r>
            <w:r>
              <w:rPr>
                <w:rFonts w:hint="eastAsia"/>
                <w:sz w:val="24"/>
                <w:lang w:eastAsia="zh-CN"/>
              </w:rPr>
              <w:t>湿法除尘系统处理</w:t>
            </w:r>
            <w:r>
              <w:rPr>
                <w:sz w:val="24"/>
              </w:rPr>
              <w:t>后再厂区内无</w:t>
            </w:r>
            <w:r>
              <w:rPr>
                <w:rFonts w:hint="eastAsia"/>
                <w:sz w:val="24"/>
              </w:rPr>
              <w:t>组织</w:t>
            </w:r>
            <w:r>
              <w:rPr>
                <w:sz w:val="24"/>
              </w:rPr>
              <w:t>排放，不设排气筒。</w:t>
            </w:r>
          </w:p>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default" w:ascii="Times New Roman" w:hAnsi="Times New Roman" w:cs="Times New Roman"/>
                <w:sz w:val="24"/>
                <w:lang w:eastAsia="zh-CN"/>
              </w:rPr>
              <w:t>抛丸</w:t>
            </w:r>
            <w:r>
              <w:rPr>
                <w:rFonts w:hint="default" w:ascii="Times New Roman" w:hAnsi="Times New Roman" w:cs="Times New Roman"/>
                <w:sz w:val="24"/>
              </w:rPr>
              <w:t>粉尘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eastAsia="zh-CN"/>
              </w:rPr>
              <w:t>抛丸</w:t>
            </w:r>
            <w:r>
              <w:rPr>
                <w:rFonts w:hint="default" w:ascii="Times New Roman" w:hAnsi="Times New Roman" w:cs="Times New Roman"/>
                <w:sz w:val="24"/>
              </w:rPr>
              <w:t>的作用是去除表面污物，本项目设有</w:t>
            </w:r>
            <w:r>
              <w:rPr>
                <w:rFonts w:hint="default" w:ascii="Times New Roman" w:hAnsi="Times New Roman" w:cs="Times New Roman"/>
                <w:sz w:val="24"/>
                <w:lang w:val="en-US" w:eastAsia="zh-CN"/>
              </w:rPr>
              <w:t>2</w:t>
            </w:r>
            <w:r>
              <w:rPr>
                <w:rFonts w:hint="default" w:ascii="Times New Roman" w:hAnsi="Times New Roman" w:cs="Times New Roman"/>
                <w:sz w:val="24"/>
              </w:rPr>
              <w:t>台</w:t>
            </w:r>
            <w:r>
              <w:rPr>
                <w:rFonts w:hint="default" w:ascii="Times New Roman" w:hAnsi="Times New Roman" w:cs="Times New Roman"/>
                <w:sz w:val="24"/>
                <w:lang w:eastAsia="zh-CN"/>
              </w:rPr>
              <w:t>抛丸</w:t>
            </w:r>
            <w:r>
              <w:rPr>
                <w:rFonts w:hint="default" w:ascii="Times New Roman" w:hAnsi="Times New Roman" w:cs="Times New Roman"/>
                <w:sz w:val="24"/>
              </w:rPr>
              <w:t>机，根据业主提供资料可知，项目</w:t>
            </w:r>
            <w:r>
              <w:rPr>
                <w:rFonts w:hint="default" w:ascii="Times New Roman" w:hAnsi="Times New Roman" w:cs="Times New Roman"/>
                <w:sz w:val="24"/>
                <w:lang w:eastAsia="zh-CN"/>
              </w:rPr>
              <w:t>抛丸</w:t>
            </w:r>
            <w:r>
              <w:rPr>
                <w:rFonts w:hint="default" w:ascii="Times New Roman" w:hAnsi="Times New Roman" w:cs="Times New Roman"/>
                <w:sz w:val="24"/>
              </w:rPr>
              <w:t>机属于密闭机器，扳手放入</w:t>
            </w:r>
            <w:r>
              <w:rPr>
                <w:rFonts w:hint="default" w:ascii="Times New Roman" w:hAnsi="Times New Roman" w:cs="Times New Roman"/>
                <w:sz w:val="24"/>
                <w:lang w:eastAsia="zh-CN"/>
              </w:rPr>
              <w:t>抛丸</w:t>
            </w:r>
            <w:r>
              <w:rPr>
                <w:rFonts w:hint="default" w:ascii="Times New Roman" w:hAnsi="Times New Roman" w:cs="Times New Roman"/>
                <w:sz w:val="24"/>
              </w:rPr>
              <w:t>机内，盖好盖子进行</w:t>
            </w:r>
            <w:r>
              <w:rPr>
                <w:rFonts w:hint="default" w:ascii="Times New Roman" w:hAnsi="Times New Roman" w:cs="Times New Roman"/>
                <w:sz w:val="24"/>
                <w:lang w:eastAsia="zh-CN"/>
              </w:rPr>
              <w:t>抛丸</w:t>
            </w:r>
            <w:r>
              <w:rPr>
                <w:rFonts w:hint="default" w:ascii="Times New Roman" w:hAnsi="Times New Roman" w:cs="Times New Roman"/>
                <w:sz w:val="24"/>
              </w:rPr>
              <w:t>，</w:t>
            </w:r>
            <w:r>
              <w:rPr>
                <w:rFonts w:hint="default" w:ascii="Times New Roman" w:hAnsi="Times New Roman" w:cs="Times New Roman"/>
                <w:sz w:val="24"/>
                <w:lang w:eastAsia="zh-CN"/>
              </w:rPr>
              <w:t>抛丸</w:t>
            </w:r>
            <w:r>
              <w:rPr>
                <w:rFonts w:hint="default" w:ascii="Times New Roman" w:hAnsi="Times New Roman" w:cs="Times New Roman"/>
                <w:sz w:val="24"/>
              </w:rPr>
              <w:t>过程中粉尘经自配收尘器收集（</w:t>
            </w:r>
            <w:r>
              <w:rPr>
                <w:rFonts w:hint="default" w:ascii="Times New Roman" w:hAnsi="Times New Roman" w:cs="Times New Roman"/>
                <w:sz w:val="24"/>
                <w:lang w:eastAsia="zh-CN"/>
              </w:rPr>
              <w:t>处理</w:t>
            </w:r>
            <w:r>
              <w:rPr>
                <w:rFonts w:hint="default" w:ascii="Times New Roman" w:hAnsi="Times New Roman" w:cs="Times New Roman"/>
                <w:sz w:val="24"/>
              </w:rPr>
              <w:t>效率99%计），</w:t>
            </w:r>
            <w:r>
              <w:rPr>
                <w:rFonts w:hint="default" w:ascii="Times New Roman" w:hAnsi="Times New Roman" w:cs="Times New Roman"/>
                <w:sz w:val="24"/>
                <w:lang w:eastAsia="zh-CN"/>
              </w:rPr>
              <w:t>本项目产量约</w:t>
            </w:r>
            <w:r>
              <w:rPr>
                <w:rFonts w:hint="default" w:ascii="Times New Roman" w:hAnsi="Times New Roman" w:cs="Times New Roman"/>
                <w:sz w:val="24"/>
                <w:lang w:val="en-US" w:eastAsia="zh-CN"/>
              </w:rPr>
              <w:t>200t/a，粉尘产生量按1‰计，则粉尘产生量</w:t>
            </w:r>
            <w:r>
              <w:rPr>
                <w:rFonts w:hint="default" w:ascii="Times New Roman" w:hAnsi="Times New Roman" w:cs="Times New Roman"/>
                <w:sz w:val="24"/>
              </w:rPr>
              <w:t>为</w:t>
            </w:r>
            <w:r>
              <w:rPr>
                <w:rFonts w:hint="default" w:ascii="Times New Roman" w:hAnsi="Times New Roman" w:cs="Times New Roman"/>
                <w:sz w:val="24"/>
                <w:lang w:val="en-US" w:eastAsia="zh-CN"/>
              </w:rPr>
              <w:t>0.2</w:t>
            </w:r>
            <w:r>
              <w:rPr>
                <w:rFonts w:hint="default" w:ascii="Times New Roman" w:hAnsi="Times New Roman" w:cs="Times New Roman"/>
                <w:sz w:val="24"/>
              </w:rPr>
              <w:t>t/a，则外排粉尘为</w:t>
            </w:r>
            <w:r>
              <w:rPr>
                <w:rFonts w:hint="default" w:ascii="Times New Roman" w:hAnsi="Times New Roman" w:cs="Times New Roman"/>
                <w:sz w:val="24"/>
                <w:lang w:eastAsia="zh-CN"/>
              </w:rPr>
              <w:t>0.002t</w:t>
            </w:r>
            <w:r>
              <w:rPr>
                <w:rFonts w:hint="default" w:ascii="Times New Roman" w:hAnsi="Times New Roman" w:cs="Times New Roman"/>
                <w:sz w:val="24"/>
              </w:rPr>
              <w:t>/a。</w:t>
            </w:r>
          </w:p>
          <w:p>
            <w:pPr>
              <w:spacing w:line="360" w:lineRule="auto"/>
              <w:ind w:firstLine="480" w:firstLineChars="200"/>
              <w:rPr>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sz w:val="24"/>
              </w:rPr>
              <w:t>抛光粉尘</w:t>
            </w:r>
          </w:p>
          <w:p>
            <w:pPr>
              <w:spacing w:line="360" w:lineRule="auto"/>
              <w:ind w:firstLine="480" w:firstLineChars="200"/>
              <w:rPr>
                <w:sz w:val="24"/>
                <w:u w:val="none"/>
              </w:rPr>
            </w:pPr>
            <w:r>
              <w:rPr>
                <w:sz w:val="24"/>
              </w:rPr>
              <w:t>根据锻件及粉末冶金制造业产排污系数表，项目抛光粉尘产生系数为0.226kg/t产品，则项目抛光过程粉尘产生量约为</w:t>
            </w:r>
            <w:r>
              <w:rPr>
                <w:rFonts w:hint="eastAsia"/>
                <w:sz w:val="24"/>
                <w:lang w:eastAsia="zh-CN"/>
              </w:rPr>
              <w:t>0.045</w:t>
            </w:r>
            <w:r>
              <w:rPr>
                <w:sz w:val="24"/>
              </w:rPr>
              <w:t>t/a</w:t>
            </w:r>
            <w:r>
              <w:rPr>
                <w:rFonts w:hint="eastAsia"/>
                <w:sz w:val="24"/>
              </w:rPr>
              <w:t>，</w:t>
            </w:r>
            <w:r>
              <w:rPr>
                <w:rFonts w:hint="eastAsia"/>
                <w:sz w:val="24"/>
                <w:lang w:eastAsia="zh-CN"/>
              </w:rPr>
              <w:t>抛光</w:t>
            </w:r>
            <w:r>
              <w:rPr>
                <w:sz w:val="24"/>
              </w:rPr>
              <w:t>工序</w:t>
            </w:r>
            <w:r>
              <w:rPr>
                <w:rFonts w:hint="eastAsia"/>
                <w:sz w:val="24"/>
              </w:rPr>
              <w:t>采用</w:t>
            </w:r>
            <w:r>
              <w:rPr>
                <w:rFonts w:hint="eastAsia"/>
                <w:sz w:val="24"/>
                <w:lang w:eastAsia="zh-CN"/>
              </w:rPr>
              <w:t>湿法除尘系统处理</w:t>
            </w:r>
            <w:r>
              <w:rPr>
                <w:sz w:val="24"/>
              </w:rPr>
              <w:t>（</w:t>
            </w:r>
            <w:r>
              <w:rPr>
                <w:rFonts w:hint="eastAsia"/>
                <w:sz w:val="24"/>
              </w:rPr>
              <w:t>处理</w:t>
            </w:r>
            <w:r>
              <w:rPr>
                <w:sz w:val="24"/>
              </w:rPr>
              <w:t>效率</w:t>
            </w:r>
            <w:r>
              <w:rPr>
                <w:rFonts w:hint="eastAsia"/>
                <w:sz w:val="24"/>
              </w:rPr>
              <w:t>90</w:t>
            </w:r>
            <w:r>
              <w:rPr>
                <w:sz w:val="24"/>
              </w:rPr>
              <w:t>%计）</w:t>
            </w:r>
            <w:r>
              <w:rPr>
                <w:rFonts w:hint="eastAsia"/>
                <w:sz w:val="24"/>
                <w:lang w:eastAsia="zh-CN"/>
              </w:rPr>
              <w:t>，</w:t>
            </w:r>
            <w:r>
              <w:rPr>
                <w:sz w:val="24"/>
              </w:rPr>
              <w:t>其中</w:t>
            </w:r>
            <w:r>
              <w:rPr>
                <w:rFonts w:hint="eastAsia"/>
                <w:sz w:val="24"/>
                <w:lang w:eastAsia="zh-CN"/>
              </w:rPr>
              <w:t>除尘系统收集粉尘</w:t>
            </w:r>
            <w:r>
              <w:rPr>
                <w:sz w:val="24"/>
              </w:rPr>
              <w:t>为</w:t>
            </w:r>
            <w:r>
              <w:rPr>
                <w:rFonts w:hint="eastAsia"/>
                <w:sz w:val="24"/>
                <w:lang w:val="en-US" w:eastAsia="zh-CN"/>
              </w:rPr>
              <w:t>0.041</w:t>
            </w:r>
            <w:r>
              <w:rPr>
                <w:sz w:val="24"/>
              </w:rPr>
              <w:t>t/a，</w:t>
            </w:r>
            <w:r>
              <w:rPr>
                <w:rFonts w:hint="eastAsia"/>
                <w:sz w:val="24"/>
              </w:rPr>
              <w:t>无组织</w:t>
            </w:r>
            <w:r>
              <w:rPr>
                <w:sz w:val="24"/>
              </w:rPr>
              <w:t>排放粉尘为</w:t>
            </w:r>
            <w:r>
              <w:rPr>
                <w:rFonts w:hint="eastAsia"/>
                <w:sz w:val="24"/>
                <w:lang w:val="en-US" w:eastAsia="zh-CN"/>
              </w:rPr>
              <w:t>0.004</w:t>
            </w:r>
            <w:r>
              <w:rPr>
                <w:rFonts w:hint="eastAsia"/>
                <w:sz w:val="24"/>
                <w:lang w:eastAsia="zh-CN"/>
              </w:rPr>
              <w:t>t/a</w:t>
            </w:r>
            <w:r>
              <w:rPr>
                <w:sz w:val="24"/>
              </w:rPr>
              <w:t>。</w:t>
            </w:r>
            <w:r>
              <w:rPr>
                <w:rFonts w:hint="eastAsia"/>
                <w:sz w:val="24"/>
              </w:rPr>
              <w:t>本项目</w:t>
            </w:r>
            <w:r>
              <w:rPr>
                <w:rFonts w:hint="eastAsia"/>
                <w:sz w:val="24"/>
                <w:lang w:eastAsia="zh-CN"/>
              </w:rPr>
              <w:t>抛光</w:t>
            </w:r>
            <w:r>
              <w:rPr>
                <w:sz w:val="24"/>
              </w:rPr>
              <w:t>粉尘经</w:t>
            </w:r>
            <w:r>
              <w:rPr>
                <w:rFonts w:hint="eastAsia"/>
                <w:sz w:val="24"/>
                <w:lang w:eastAsia="zh-CN"/>
              </w:rPr>
              <w:t>湿法除尘系统处理</w:t>
            </w:r>
            <w:r>
              <w:rPr>
                <w:sz w:val="24"/>
              </w:rPr>
              <w:t>后再厂区内无</w:t>
            </w:r>
            <w:r>
              <w:rPr>
                <w:rFonts w:hint="eastAsia"/>
                <w:sz w:val="24"/>
              </w:rPr>
              <w:t>组织</w:t>
            </w:r>
            <w:r>
              <w:rPr>
                <w:sz w:val="24"/>
              </w:rPr>
              <w:t>排放，不设排气筒。</w:t>
            </w:r>
          </w:p>
          <w:p>
            <w:pPr>
              <w:pStyle w:val="12"/>
              <w:spacing w:line="360" w:lineRule="auto"/>
              <w:ind w:firstLine="480" w:firstLineChars="200"/>
              <w:rPr>
                <w:rFonts w:hint="eastAsia" w:eastAsia="宋体"/>
                <w:lang w:eastAsia="zh-CN"/>
              </w:rPr>
            </w:pPr>
            <w:r>
              <w:rPr>
                <w:rFonts w:hint="eastAsia"/>
              </w:rPr>
              <w:t>由上可知</w:t>
            </w:r>
            <w:r>
              <w:t>，项目无</w:t>
            </w:r>
            <w:r>
              <w:rPr>
                <w:rFonts w:hint="eastAsia"/>
              </w:rPr>
              <w:t>组织</w:t>
            </w:r>
            <w:r>
              <w:t>排放粉尘总量为</w:t>
            </w:r>
            <w:r>
              <w:rPr>
                <w:rFonts w:hint="eastAsia"/>
                <w:lang w:eastAsia="zh-CN"/>
              </w:rPr>
              <w:t>0.037</w:t>
            </w:r>
            <w:r>
              <w:rPr>
                <w:sz w:val="24"/>
              </w:rPr>
              <w:t>t/a</w:t>
            </w:r>
            <w:r>
              <w:rPr>
                <w:rFonts w:hint="eastAsia"/>
                <w:sz w:val="24"/>
                <w:lang w:eastAsia="zh-CN"/>
              </w:rPr>
              <w:t>。</w:t>
            </w:r>
          </w:p>
          <w:p>
            <w:pPr>
              <w:tabs>
                <w:tab w:val="left" w:pos="3130"/>
              </w:tabs>
              <w:spacing w:line="360" w:lineRule="auto"/>
              <w:ind w:firstLine="482" w:firstLineChars="200"/>
              <w:rPr>
                <w:b/>
                <w:bCs/>
                <w:sz w:val="24"/>
              </w:rPr>
            </w:pPr>
            <w:r>
              <w:rPr>
                <w:b/>
                <w:bCs/>
                <w:sz w:val="24"/>
              </w:rPr>
              <w:t>3、噪声</w:t>
            </w:r>
          </w:p>
          <w:p>
            <w:pPr>
              <w:pStyle w:val="12"/>
              <w:spacing w:line="360" w:lineRule="auto"/>
              <w:ind w:firstLine="480" w:firstLineChars="200"/>
            </w:pPr>
            <w:r>
              <w:t>本项目噪声主要来源机械设备产生的噪声，主要机械设备声源为</w:t>
            </w:r>
            <w:r>
              <w:rPr>
                <w:rFonts w:hint="eastAsia"/>
                <w:lang w:eastAsia="zh-CN"/>
              </w:rPr>
              <w:t>断料机</w:t>
            </w:r>
            <w:r>
              <w:t>、</w:t>
            </w:r>
            <w:r>
              <w:rPr>
                <w:rFonts w:hint="eastAsia"/>
                <w:lang w:eastAsia="zh-CN"/>
              </w:rPr>
              <w:t>压力机</w:t>
            </w:r>
            <w:r>
              <w:t>、</w:t>
            </w:r>
            <w:r>
              <w:rPr>
                <w:rFonts w:hint="eastAsia"/>
                <w:lang w:eastAsia="zh-CN"/>
              </w:rPr>
              <w:t>冲床</w:t>
            </w:r>
            <w:r>
              <w:t>、</w:t>
            </w:r>
            <w:r>
              <w:rPr>
                <w:rFonts w:hint="eastAsia"/>
                <w:lang w:eastAsia="zh-CN"/>
              </w:rPr>
              <w:t>车床</w:t>
            </w:r>
            <w:r>
              <w:t>、</w:t>
            </w:r>
            <w:r>
              <w:rPr>
                <w:rFonts w:hint="eastAsia"/>
                <w:lang w:eastAsia="zh-CN"/>
              </w:rPr>
              <w:t>抛丸机</w:t>
            </w:r>
            <w:r>
              <w:t>、</w:t>
            </w:r>
            <w:r>
              <w:rPr>
                <w:rFonts w:hint="eastAsia"/>
                <w:lang w:eastAsia="zh-CN"/>
              </w:rPr>
              <w:t>抛光机</w:t>
            </w:r>
            <w:r>
              <w:t>、</w:t>
            </w:r>
            <w:r>
              <w:rPr>
                <w:rFonts w:hint="eastAsia"/>
                <w:lang w:eastAsia="zh-CN"/>
              </w:rPr>
              <w:t>研磨机</w:t>
            </w:r>
            <w:r>
              <w:t>等，噪声源声级在</w:t>
            </w:r>
            <w:r>
              <w:rPr>
                <w:rFonts w:hint="eastAsia"/>
                <w:lang w:val="en-US" w:eastAsia="zh-CN"/>
              </w:rPr>
              <w:t>7</w:t>
            </w:r>
            <w:r>
              <w:t>0-</w:t>
            </w:r>
            <w:r>
              <w:rPr>
                <w:rFonts w:hint="eastAsia"/>
                <w:lang w:val="en-US" w:eastAsia="zh-CN"/>
              </w:rPr>
              <w:t>90</w:t>
            </w:r>
            <w:r>
              <w:t>dB。</w:t>
            </w:r>
          </w:p>
          <w:p>
            <w:pPr>
              <w:adjustRightInd w:val="0"/>
              <w:snapToGrid w:val="0"/>
              <w:jc w:val="center"/>
              <w:rPr>
                <w:b/>
                <w:snapToGrid w:val="0"/>
                <w:kern w:val="0"/>
                <w:szCs w:val="21"/>
              </w:rPr>
            </w:pPr>
            <w:r>
              <w:rPr>
                <w:b/>
                <w:snapToGrid w:val="0"/>
                <w:kern w:val="0"/>
                <w:szCs w:val="21"/>
              </w:rPr>
              <w:t>表5-2  主要设备噪声声压级    单位：dB(A)</w:t>
            </w:r>
          </w:p>
          <w:tbl>
            <w:tblPr>
              <w:tblStyle w:val="38"/>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701"/>
              <w:gridCol w:w="1842"/>
              <w:gridCol w:w="2728"/>
              <w:gridCol w:w="1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sz w:val="21"/>
                      <w:szCs w:val="21"/>
                    </w:rPr>
                    <w:t>序号</w:t>
                  </w:r>
                </w:p>
              </w:tc>
              <w:tc>
                <w:tcPr>
                  <w:tcW w:w="1701" w:type="dxa"/>
                  <w:vAlign w:val="center"/>
                </w:tcPr>
                <w:p>
                  <w:pPr>
                    <w:pStyle w:val="92"/>
                    <w:spacing w:line="240" w:lineRule="auto"/>
                    <w:ind w:firstLine="0" w:firstLineChars="0"/>
                    <w:jc w:val="center"/>
                    <w:rPr>
                      <w:sz w:val="21"/>
                      <w:szCs w:val="21"/>
                    </w:rPr>
                  </w:pPr>
                  <w:r>
                    <w:rPr>
                      <w:sz w:val="21"/>
                      <w:szCs w:val="21"/>
                    </w:rPr>
                    <w:t>噪声源</w:t>
                  </w:r>
                </w:p>
              </w:tc>
              <w:tc>
                <w:tcPr>
                  <w:tcW w:w="1842" w:type="dxa"/>
                  <w:vAlign w:val="center"/>
                </w:tcPr>
                <w:p>
                  <w:pPr>
                    <w:pStyle w:val="92"/>
                    <w:spacing w:line="240" w:lineRule="auto"/>
                    <w:ind w:firstLine="0" w:firstLineChars="0"/>
                    <w:jc w:val="center"/>
                    <w:rPr>
                      <w:sz w:val="21"/>
                      <w:szCs w:val="21"/>
                    </w:rPr>
                  </w:pPr>
                  <w:r>
                    <w:rPr>
                      <w:sz w:val="21"/>
                      <w:szCs w:val="21"/>
                    </w:rPr>
                    <w:t>数量（台）</w:t>
                  </w:r>
                </w:p>
              </w:tc>
              <w:tc>
                <w:tcPr>
                  <w:tcW w:w="2728" w:type="dxa"/>
                  <w:vAlign w:val="center"/>
                </w:tcPr>
                <w:p>
                  <w:pPr>
                    <w:pStyle w:val="92"/>
                    <w:spacing w:line="240" w:lineRule="auto"/>
                    <w:ind w:firstLine="0" w:firstLineChars="0"/>
                    <w:jc w:val="center"/>
                    <w:rPr>
                      <w:sz w:val="21"/>
                      <w:szCs w:val="21"/>
                    </w:rPr>
                  </w:pPr>
                  <w:r>
                    <w:rPr>
                      <w:sz w:val="21"/>
                      <w:szCs w:val="21"/>
                    </w:rPr>
                    <w:t>设备噪声值</w:t>
                  </w:r>
                </w:p>
              </w:tc>
              <w:tc>
                <w:tcPr>
                  <w:tcW w:w="1815" w:type="dxa"/>
                  <w:vAlign w:val="center"/>
                </w:tcPr>
                <w:p>
                  <w:pPr>
                    <w:pStyle w:val="92"/>
                    <w:spacing w:line="240" w:lineRule="auto"/>
                    <w:ind w:firstLine="0" w:firstLineChars="0"/>
                    <w:jc w:val="center"/>
                    <w:rPr>
                      <w:sz w:val="21"/>
                      <w:szCs w:val="21"/>
                    </w:rPr>
                  </w:pPr>
                  <w:r>
                    <w:rPr>
                      <w:sz w:val="21"/>
                      <w:szCs w:val="21"/>
                    </w:rPr>
                    <w:t>噪声源位置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1</w:t>
                  </w:r>
                </w:p>
              </w:tc>
              <w:tc>
                <w:tcPr>
                  <w:tcW w:w="1701" w:type="dxa"/>
                  <w:vAlign w:val="center"/>
                </w:tcPr>
                <w:p>
                  <w:pPr>
                    <w:jc w:val="center"/>
                    <w:rPr>
                      <w:sz w:val="21"/>
                      <w:szCs w:val="21"/>
                    </w:rPr>
                  </w:pPr>
                  <w:r>
                    <w:rPr>
                      <w:rFonts w:hint="eastAsia"/>
                      <w:bCs/>
                      <w:szCs w:val="21"/>
                    </w:rPr>
                    <w:t>断料机</w:t>
                  </w:r>
                </w:p>
              </w:tc>
              <w:tc>
                <w:tcPr>
                  <w:tcW w:w="1842" w:type="dxa"/>
                  <w:vAlign w:val="center"/>
                </w:tcPr>
                <w:p>
                  <w:pPr>
                    <w:jc w:val="center"/>
                    <w:rPr>
                      <w:sz w:val="21"/>
                      <w:szCs w:val="21"/>
                    </w:rPr>
                  </w:pPr>
                  <w:r>
                    <w:rPr>
                      <w:rFonts w:hint="eastAsia"/>
                      <w:bCs/>
                      <w:szCs w:val="21"/>
                      <w:lang w:val="en-US" w:eastAsia="zh-CN"/>
                    </w:rPr>
                    <w:t>2</w:t>
                  </w:r>
                </w:p>
              </w:tc>
              <w:tc>
                <w:tcPr>
                  <w:tcW w:w="2728" w:type="dxa"/>
                  <w:vAlign w:val="center"/>
                </w:tcPr>
                <w:p>
                  <w:pPr>
                    <w:pStyle w:val="92"/>
                    <w:spacing w:line="240" w:lineRule="auto"/>
                    <w:ind w:firstLine="0" w:firstLineChars="0"/>
                    <w:jc w:val="center"/>
                    <w:rPr>
                      <w:sz w:val="21"/>
                      <w:szCs w:val="21"/>
                    </w:rPr>
                  </w:pPr>
                  <w:r>
                    <w:rPr>
                      <w:rFonts w:hint="eastAsia"/>
                      <w:sz w:val="21"/>
                      <w:szCs w:val="21"/>
                    </w:rPr>
                    <w:t>75-80</w:t>
                  </w:r>
                </w:p>
              </w:tc>
              <w:tc>
                <w:tcPr>
                  <w:tcW w:w="1815" w:type="dxa"/>
                  <w:vMerge w:val="restart"/>
                  <w:vAlign w:val="center"/>
                </w:tcPr>
                <w:p>
                  <w:pPr>
                    <w:pStyle w:val="92"/>
                    <w:spacing w:line="240" w:lineRule="auto"/>
                    <w:ind w:firstLine="0" w:firstLineChars="0"/>
                    <w:jc w:val="center"/>
                    <w:rPr>
                      <w:sz w:val="21"/>
                      <w:szCs w:val="21"/>
                    </w:rPr>
                  </w:pPr>
                  <w:r>
                    <w:rPr>
                      <w:rFonts w:hint="eastAsia"/>
                      <w:sz w:val="21"/>
                      <w:szCs w:val="21"/>
                    </w:rPr>
                    <w:t>生产车间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2</w:t>
                  </w:r>
                </w:p>
              </w:tc>
              <w:tc>
                <w:tcPr>
                  <w:tcW w:w="1701" w:type="dxa"/>
                  <w:vAlign w:val="center"/>
                </w:tcPr>
                <w:p>
                  <w:pPr>
                    <w:jc w:val="center"/>
                    <w:rPr>
                      <w:sz w:val="21"/>
                      <w:szCs w:val="21"/>
                    </w:rPr>
                  </w:pPr>
                  <w:r>
                    <w:rPr>
                      <w:rFonts w:hint="eastAsia"/>
                      <w:bCs/>
                      <w:szCs w:val="21"/>
                    </w:rPr>
                    <w:t>压力机</w:t>
                  </w:r>
                </w:p>
              </w:tc>
              <w:tc>
                <w:tcPr>
                  <w:tcW w:w="1842" w:type="dxa"/>
                  <w:vAlign w:val="center"/>
                </w:tcPr>
                <w:p>
                  <w:pPr>
                    <w:jc w:val="center"/>
                    <w:rPr>
                      <w:sz w:val="21"/>
                      <w:szCs w:val="21"/>
                    </w:rPr>
                  </w:pPr>
                  <w:r>
                    <w:rPr>
                      <w:rFonts w:hint="eastAsia"/>
                      <w:bCs/>
                      <w:szCs w:val="21"/>
                      <w:lang w:val="en-US" w:eastAsia="zh-CN"/>
                    </w:rPr>
                    <w:t>2</w:t>
                  </w:r>
                </w:p>
              </w:tc>
              <w:tc>
                <w:tcPr>
                  <w:tcW w:w="2728" w:type="dxa"/>
                  <w:vAlign w:val="center"/>
                </w:tcPr>
                <w:p>
                  <w:pPr>
                    <w:pStyle w:val="92"/>
                    <w:spacing w:line="240" w:lineRule="auto"/>
                    <w:ind w:firstLine="0" w:firstLineChars="0"/>
                    <w:jc w:val="center"/>
                    <w:rPr>
                      <w:sz w:val="21"/>
                      <w:szCs w:val="21"/>
                    </w:rPr>
                  </w:pPr>
                  <w:r>
                    <w:rPr>
                      <w:rFonts w:hint="eastAsia"/>
                      <w:sz w:val="21"/>
                      <w:szCs w:val="21"/>
                    </w:rPr>
                    <w:t>80-85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3</w:t>
                  </w:r>
                </w:p>
              </w:tc>
              <w:tc>
                <w:tcPr>
                  <w:tcW w:w="1701" w:type="dxa"/>
                  <w:vAlign w:val="center"/>
                </w:tcPr>
                <w:p>
                  <w:pPr>
                    <w:jc w:val="center"/>
                    <w:rPr>
                      <w:sz w:val="21"/>
                      <w:szCs w:val="21"/>
                    </w:rPr>
                  </w:pPr>
                  <w:r>
                    <w:rPr>
                      <w:rFonts w:hint="eastAsia"/>
                      <w:bCs/>
                      <w:szCs w:val="21"/>
                    </w:rPr>
                    <w:t>轧机</w:t>
                  </w:r>
                </w:p>
              </w:tc>
              <w:tc>
                <w:tcPr>
                  <w:tcW w:w="1842" w:type="dxa"/>
                  <w:vAlign w:val="center"/>
                </w:tcPr>
                <w:p>
                  <w:pPr>
                    <w:jc w:val="center"/>
                    <w:rPr>
                      <w:sz w:val="21"/>
                      <w:szCs w:val="21"/>
                    </w:rPr>
                  </w:pPr>
                  <w:r>
                    <w:rPr>
                      <w:rFonts w:hint="eastAsia"/>
                      <w:bCs/>
                      <w:szCs w:val="21"/>
                      <w:lang w:val="en-US" w:eastAsia="zh-CN"/>
                    </w:rPr>
                    <w:t>2</w:t>
                  </w:r>
                </w:p>
              </w:tc>
              <w:tc>
                <w:tcPr>
                  <w:tcW w:w="2728" w:type="dxa"/>
                  <w:vAlign w:val="center"/>
                </w:tcPr>
                <w:p>
                  <w:pPr>
                    <w:pStyle w:val="92"/>
                    <w:spacing w:line="240" w:lineRule="auto"/>
                    <w:ind w:firstLine="0" w:firstLineChars="0"/>
                    <w:jc w:val="center"/>
                    <w:rPr>
                      <w:sz w:val="21"/>
                      <w:szCs w:val="21"/>
                    </w:rPr>
                  </w:pPr>
                  <w:r>
                    <w:rPr>
                      <w:rFonts w:hint="eastAsia"/>
                      <w:sz w:val="21"/>
                      <w:szCs w:val="21"/>
                    </w:rPr>
                    <w:t>80-85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4</w:t>
                  </w:r>
                </w:p>
              </w:tc>
              <w:tc>
                <w:tcPr>
                  <w:tcW w:w="1701" w:type="dxa"/>
                  <w:vAlign w:val="center"/>
                </w:tcPr>
                <w:p>
                  <w:pPr>
                    <w:jc w:val="center"/>
                    <w:rPr>
                      <w:sz w:val="21"/>
                      <w:szCs w:val="21"/>
                    </w:rPr>
                  </w:pPr>
                  <w:r>
                    <w:rPr>
                      <w:rFonts w:hint="eastAsia"/>
                      <w:bCs/>
                      <w:szCs w:val="21"/>
                    </w:rPr>
                    <w:t>冲床</w:t>
                  </w:r>
                </w:p>
              </w:tc>
              <w:tc>
                <w:tcPr>
                  <w:tcW w:w="1842" w:type="dxa"/>
                  <w:vAlign w:val="center"/>
                </w:tcPr>
                <w:p>
                  <w:pPr>
                    <w:jc w:val="center"/>
                    <w:rPr>
                      <w:sz w:val="21"/>
                      <w:szCs w:val="21"/>
                    </w:rPr>
                  </w:pPr>
                  <w:r>
                    <w:rPr>
                      <w:rFonts w:hint="eastAsia"/>
                      <w:bCs/>
                      <w:szCs w:val="21"/>
                      <w:lang w:val="en-US" w:eastAsia="zh-CN"/>
                    </w:rPr>
                    <w:t>6</w:t>
                  </w:r>
                </w:p>
              </w:tc>
              <w:tc>
                <w:tcPr>
                  <w:tcW w:w="2728" w:type="dxa"/>
                  <w:vAlign w:val="center"/>
                </w:tcPr>
                <w:p>
                  <w:pPr>
                    <w:pStyle w:val="92"/>
                    <w:spacing w:line="240" w:lineRule="auto"/>
                    <w:ind w:firstLine="0" w:firstLineChars="0"/>
                    <w:jc w:val="center"/>
                    <w:rPr>
                      <w:sz w:val="21"/>
                      <w:szCs w:val="21"/>
                    </w:rPr>
                  </w:pPr>
                  <w:r>
                    <w:rPr>
                      <w:rFonts w:hint="eastAsia"/>
                      <w:sz w:val="21"/>
                      <w:szCs w:val="21"/>
                    </w:rPr>
                    <w:t>70-75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5</w:t>
                  </w:r>
                </w:p>
              </w:tc>
              <w:tc>
                <w:tcPr>
                  <w:tcW w:w="1701" w:type="dxa"/>
                  <w:vAlign w:val="center"/>
                </w:tcPr>
                <w:p>
                  <w:pPr>
                    <w:jc w:val="center"/>
                    <w:rPr>
                      <w:sz w:val="21"/>
                      <w:szCs w:val="21"/>
                    </w:rPr>
                  </w:pPr>
                  <w:r>
                    <w:rPr>
                      <w:rFonts w:hint="eastAsia"/>
                      <w:bCs/>
                      <w:szCs w:val="21"/>
                    </w:rPr>
                    <w:t>车床</w:t>
                  </w:r>
                </w:p>
              </w:tc>
              <w:tc>
                <w:tcPr>
                  <w:tcW w:w="1842" w:type="dxa"/>
                  <w:vAlign w:val="center"/>
                </w:tcPr>
                <w:p>
                  <w:pPr>
                    <w:jc w:val="center"/>
                    <w:rPr>
                      <w:sz w:val="21"/>
                      <w:szCs w:val="21"/>
                    </w:rPr>
                  </w:pPr>
                  <w:r>
                    <w:rPr>
                      <w:rFonts w:hint="eastAsia"/>
                      <w:bCs/>
                      <w:szCs w:val="21"/>
                      <w:lang w:val="en-US" w:eastAsia="zh-CN"/>
                    </w:rPr>
                    <w:t>6</w:t>
                  </w:r>
                </w:p>
              </w:tc>
              <w:tc>
                <w:tcPr>
                  <w:tcW w:w="2728" w:type="dxa"/>
                  <w:vAlign w:val="center"/>
                </w:tcPr>
                <w:p>
                  <w:pPr>
                    <w:pStyle w:val="92"/>
                    <w:spacing w:line="240" w:lineRule="auto"/>
                    <w:ind w:firstLine="0" w:firstLineChars="0"/>
                    <w:jc w:val="center"/>
                    <w:rPr>
                      <w:sz w:val="21"/>
                      <w:szCs w:val="21"/>
                    </w:rPr>
                  </w:pPr>
                  <w:r>
                    <w:rPr>
                      <w:rFonts w:hint="eastAsia"/>
                      <w:sz w:val="21"/>
                      <w:szCs w:val="21"/>
                    </w:rPr>
                    <w:t>70-75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6</w:t>
                  </w:r>
                </w:p>
              </w:tc>
              <w:tc>
                <w:tcPr>
                  <w:tcW w:w="1701" w:type="dxa"/>
                  <w:vAlign w:val="center"/>
                </w:tcPr>
                <w:p>
                  <w:pPr>
                    <w:jc w:val="center"/>
                    <w:rPr>
                      <w:sz w:val="21"/>
                      <w:szCs w:val="21"/>
                    </w:rPr>
                  </w:pPr>
                  <w:r>
                    <w:rPr>
                      <w:rFonts w:hint="eastAsia"/>
                      <w:bCs/>
                      <w:szCs w:val="21"/>
                    </w:rPr>
                    <w:t>磨床</w:t>
                  </w:r>
                </w:p>
              </w:tc>
              <w:tc>
                <w:tcPr>
                  <w:tcW w:w="1842" w:type="dxa"/>
                  <w:vAlign w:val="center"/>
                </w:tcPr>
                <w:p>
                  <w:pPr>
                    <w:jc w:val="center"/>
                    <w:rPr>
                      <w:sz w:val="21"/>
                      <w:szCs w:val="21"/>
                    </w:rPr>
                  </w:pPr>
                  <w:r>
                    <w:rPr>
                      <w:rFonts w:hint="eastAsia"/>
                      <w:bCs/>
                      <w:szCs w:val="21"/>
                    </w:rPr>
                    <w:t>2</w:t>
                  </w:r>
                </w:p>
              </w:tc>
              <w:tc>
                <w:tcPr>
                  <w:tcW w:w="2728" w:type="dxa"/>
                  <w:vAlign w:val="center"/>
                </w:tcPr>
                <w:p>
                  <w:pPr>
                    <w:pStyle w:val="92"/>
                    <w:spacing w:line="240" w:lineRule="auto"/>
                    <w:ind w:firstLine="0" w:firstLineChars="0"/>
                    <w:jc w:val="center"/>
                    <w:rPr>
                      <w:sz w:val="21"/>
                      <w:szCs w:val="21"/>
                    </w:rPr>
                  </w:pPr>
                  <w:r>
                    <w:rPr>
                      <w:rFonts w:hint="eastAsia"/>
                      <w:sz w:val="21"/>
                      <w:szCs w:val="21"/>
                    </w:rPr>
                    <w:t>80-85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7</w:t>
                  </w:r>
                </w:p>
              </w:tc>
              <w:tc>
                <w:tcPr>
                  <w:tcW w:w="1701" w:type="dxa"/>
                  <w:vAlign w:val="center"/>
                </w:tcPr>
                <w:p>
                  <w:pPr>
                    <w:jc w:val="center"/>
                    <w:rPr>
                      <w:sz w:val="21"/>
                      <w:szCs w:val="21"/>
                    </w:rPr>
                  </w:pPr>
                  <w:r>
                    <w:rPr>
                      <w:rFonts w:hint="eastAsia"/>
                      <w:bCs/>
                      <w:szCs w:val="21"/>
                    </w:rPr>
                    <w:t>铣床</w:t>
                  </w:r>
                </w:p>
              </w:tc>
              <w:tc>
                <w:tcPr>
                  <w:tcW w:w="1842" w:type="dxa"/>
                  <w:vAlign w:val="center"/>
                </w:tcPr>
                <w:p>
                  <w:pPr>
                    <w:jc w:val="center"/>
                    <w:rPr>
                      <w:sz w:val="21"/>
                      <w:szCs w:val="21"/>
                    </w:rPr>
                  </w:pPr>
                  <w:r>
                    <w:rPr>
                      <w:rFonts w:hint="eastAsia"/>
                      <w:bCs/>
                      <w:szCs w:val="21"/>
                      <w:lang w:val="en-US" w:eastAsia="zh-CN"/>
                    </w:rPr>
                    <w:t>3</w:t>
                  </w:r>
                </w:p>
              </w:tc>
              <w:tc>
                <w:tcPr>
                  <w:tcW w:w="2728" w:type="dxa"/>
                  <w:vAlign w:val="center"/>
                </w:tcPr>
                <w:p>
                  <w:pPr>
                    <w:pStyle w:val="92"/>
                    <w:spacing w:line="240" w:lineRule="auto"/>
                    <w:ind w:firstLine="0" w:firstLineChars="0"/>
                    <w:jc w:val="center"/>
                    <w:rPr>
                      <w:sz w:val="21"/>
                      <w:szCs w:val="21"/>
                    </w:rPr>
                  </w:pPr>
                  <w:r>
                    <w:rPr>
                      <w:rFonts w:hint="eastAsia"/>
                      <w:sz w:val="21"/>
                      <w:szCs w:val="21"/>
                    </w:rPr>
                    <w:t>80-85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8</w:t>
                  </w:r>
                </w:p>
              </w:tc>
              <w:tc>
                <w:tcPr>
                  <w:tcW w:w="1701" w:type="dxa"/>
                  <w:vAlign w:val="center"/>
                </w:tcPr>
                <w:p>
                  <w:pPr>
                    <w:jc w:val="center"/>
                    <w:rPr>
                      <w:rFonts w:hint="eastAsia" w:eastAsia="宋体"/>
                      <w:sz w:val="21"/>
                      <w:szCs w:val="21"/>
                      <w:lang w:eastAsia="zh-CN"/>
                    </w:rPr>
                  </w:pPr>
                  <w:r>
                    <w:rPr>
                      <w:rFonts w:hint="eastAsia"/>
                      <w:bCs/>
                      <w:szCs w:val="21"/>
                      <w:lang w:eastAsia="zh-CN"/>
                    </w:rPr>
                    <w:t>研磨机</w:t>
                  </w:r>
                </w:p>
              </w:tc>
              <w:tc>
                <w:tcPr>
                  <w:tcW w:w="1842" w:type="dxa"/>
                  <w:vAlign w:val="center"/>
                </w:tcPr>
                <w:p>
                  <w:pPr>
                    <w:jc w:val="center"/>
                    <w:rPr>
                      <w:sz w:val="21"/>
                      <w:szCs w:val="21"/>
                    </w:rPr>
                  </w:pPr>
                  <w:r>
                    <w:rPr>
                      <w:rFonts w:hint="eastAsia"/>
                      <w:bCs/>
                      <w:szCs w:val="21"/>
                      <w:lang w:val="en-US" w:eastAsia="zh-CN"/>
                    </w:rPr>
                    <w:t>10</w:t>
                  </w:r>
                </w:p>
              </w:tc>
              <w:tc>
                <w:tcPr>
                  <w:tcW w:w="2728" w:type="dxa"/>
                  <w:vAlign w:val="center"/>
                </w:tcPr>
                <w:p>
                  <w:pPr>
                    <w:pStyle w:val="92"/>
                    <w:spacing w:line="240" w:lineRule="auto"/>
                    <w:ind w:firstLine="0" w:firstLineChars="0"/>
                    <w:jc w:val="center"/>
                    <w:rPr>
                      <w:sz w:val="21"/>
                      <w:szCs w:val="21"/>
                    </w:rPr>
                  </w:pPr>
                  <w:r>
                    <w:rPr>
                      <w:sz w:val="21"/>
                      <w:szCs w:val="21"/>
                    </w:rPr>
                    <w:t>75-80</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9</w:t>
                  </w:r>
                </w:p>
              </w:tc>
              <w:tc>
                <w:tcPr>
                  <w:tcW w:w="1701" w:type="dxa"/>
                  <w:vAlign w:val="center"/>
                </w:tcPr>
                <w:p>
                  <w:pPr>
                    <w:jc w:val="center"/>
                    <w:rPr>
                      <w:sz w:val="21"/>
                      <w:szCs w:val="21"/>
                    </w:rPr>
                  </w:pPr>
                  <w:r>
                    <w:rPr>
                      <w:rFonts w:hint="eastAsia"/>
                      <w:bCs/>
                      <w:szCs w:val="21"/>
                      <w:lang w:eastAsia="zh-CN"/>
                    </w:rPr>
                    <w:t>抛丸</w:t>
                  </w:r>
                  <w:r>
                    <w:rPr>
                      <w:rFonts w:hint="eastAsia"/>
                      <w:bCs/>
                      <w:szCs w:val="21"/>
                    </w:rPr>
                    <w:t>机</w:t>
                  </w:r>
                </w:p>
              </w:tc>
              <w:tc>
                <w:tcPr>
                  <w:tcW w:w="1842" w:type="dxa"/>
                  <w:vAlign w:val="center"/>
                </w:tcPr>
                <w:p>
                  <w:pPr>
                    <w:jc w:val="center"/>
                    <w:rPr>
                      <w:sz w:val="21"/>
                      <w:szCs w:val="21"/>
                    </w:rPr>
                  </w:pPr>
                  <w:r>
                    <w:rPr>
                      <w:rFonts w:hint="eastAsia"/>
                      <w:bCs/>
                      <w:szCs w:val="21"/>
                      <w:lang w:val="en-US" w:eastAsia="zh-CN"/>
                    </w:rPr>
                    <w:t>2</w:t>
                  </w:r>
                </w:p>
              </w:tc>
              <w:tc>
                <w:tcPr>
                  <w:tcW w:w="2728" w:type="dxa"/>
                  <w:vAlign w:val="center"/>
                </w:tcPr>
                <w:p>
                  <w:pPr>
                    <w:pStyle w:val="92"/>
                    <w:spacing w:line="240" w:lineRule="auto"/>
                    <w:ind w:firstLine="0" w:firstLineChars="0"/>
                    <w:jc w:val="center"/>
                    <w:rPr>
                      <w:sz w:val="21"/>
                      <w:szCs w:val="21"/>
                    </w:rPr>
                  </w:pPr>
                  <w:r>
                    <w:rPr>
                      <w:rFonts w:hint="eastAsia"/>
                      <w:sz w:val="21"/>
                      <w:szCs w:val="21"/>
                    </w:rPr>
                    <w:t>85-90</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10</w:t>
                  </w:r>
                </w:p>
              </w:tc>
              <w:tc>
                <w:tcPr>
                  <w:tcW w:w="1701" w:type="dxa"/>
                  <w:vAlign w:val="center"/>
                </w:tcPr>
                <w:p>
                  <w:pPr>
                    <w:jc w:val="center"/>
                    <w:rPr>
                      <w:sz w:val="21"/>
                      <w:szCs w:val="21"/>
                    </w:rPr>
                  </w:pPr>
                  <w:r>
                    <w:rPr>
                      <w:rFonts w:hint="eastAsia"/>
                      <w:bCs/>
                      <w:szCs w:val="21"/>
                    </w:rPr>
                    <w:t>数控</w:t>
                  </w:r>
                  <w:r>
                    <w:rPr>
                      <w:bCs/>
                      <w:szCs w:val="21"/>
                    </w:rPr>
                    <w:t>抛光机</w:t>
                  </w:r>
                </w:p>
              </w:tc>
              <w:tc>
                <w:tcPr>
                  <w:tcW w:w="1842" w:type="dxa"/>
                  <w:vAlign w:val="center"/>
                </w:tcPr>
                <w:p>
                  <w:pPr>
                    <w:jc w:val="center"/>
                    <w:rPr>
                      <w:sz w:val="21"/>
                      <w:szCs w:val="21"/>
                    </w:rPr>
                  </w:pPr>
                  <w:r>
                    <w:rPr>
                      <w:rFonts w:hint="eastAsia"/>
                      <w:bCs/>
                      <w:szCs w:val="21"/>
                      <w:lang w:val="en-US" w:eastAsia="zh-CN"/>
                    </w:rPr>
                    <w:t>6</w:t>
                  </w:r>
                </w:p>
              </w:tc>
              <w:tc>
                <w:tcPr>
                  <w:tcW w:w="2728" w:type="dxa"/>
                  <w:vAlign w:val="center"/>
                </w:tcPr>
                <w:p>
                  <w:pPr>
                    <w:pStyle w:val="92"/>
                    <w:spacing w:line="240" w:lineRule="auto"/>
                    <w:ind w:firstLine="0" w:firstLineChars="0"/>
                    <w:jc w:val="center"/>
                    <w:rPr>
                      <w:sz w:val="21"/>
                      <w:szCs w:val="21"/>
                    </w:rPr>
                  </w:pPr>
                  <w:r>
                    <w:rPr>
                      <w:rFonts w:hint="eastAsia"/>
                      <w:sz w:val="21"/>
                      <w:szCs w:val="21"/>
                    </w:rPr>
                    <w:t>80-85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11</w:t>
                  </w:r>
                </w:p>
              </w:tc>
              <w:tc>
                <w:tcPr>
                  <w:tcW w:w="1701" w:type="dxa"/>
                  <w:vAlign w:val="center"/>
                </w:tcPr>
                <w:p>
                  <w:pPr>
                    <w:jc w:val="center"/>
                    <w:rPr>
                      <w:sz w:val="21"/>
                      <w:szCs w:val="21"/>
                    </w:rPr>
                  </w:pPr>
                  <w:r>
                    <w:rPr>
                      <w:rFonts w:hint="eastAsia"/>
                      <w:bCs/>
                      <w:szCs w:val="21"/>
                      <w:lang w:val="en-US" w:eastAsia="zh-CN"/>
                    </w:rPr>
                    <w:t>手工抛光机</w:t>
                  </w:r>
                </w:p>
              </w:tc>
              <w:tc>
                <w:tcPr>
                  <w:tcW w:w="1842" w:type="dxa"/>
                  <w:vAlign w:val="center"/>
                </w:tcPr>
                <w:p>
                  <w:pPr>
                    <w:jc w:val="center"/>
                    <w:rPr>
                      <w:sz w:val="21"/>
                      <w:szCs w:val="21"/>
                    </w:rPr>
                  </w:pPr>
                  <w:r>
                    <w:rPr>
                      <w:rFonts w:hint="eastAsia"/>
                      <w:bCs/>
                      <w:szCs w:val="21"/>
                      <w:lang w:val="en-US" w:eastAsia="zh-CN"/>
                    </w:rPr>
                    <w:t>3</w:t>
                  </w:r>
                </w:p>
              </w:tc>
              <w:tc>
                <w:tcPr>
                  <w:tcW w:w="2728" w:type="dxa"/>
                  <w:vAlign w:val="center"/>
                </w:tcPr>
                <w:p>
                  <w:pPr>
                    <w:pStyle w:val="92"/>
                    <w:spacing w:line="240" w:lineRule="auto"/>
                    <w:ind w:firstLine="0" w:firstLineChars="0"/>
                    <w:jc w:val="center"/>
                    <w:rPr>
                      <w:sz w:val="21"/>
                      <w:szCs w:val="21"/>
                    </w:rPr>
                  </w:pPr>
                  <w:r>
                    <w:rPr>
                      <w:rFonts w:hint="eastAsia"/>
                      <w:sz w:val="21"/>
                      <w:szCs w:val="21"/>
                    </w:rPr>
                    <w:t>80-85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12</w:t>
                  </w:r>
                </w:p>
              </w:tc>
              <w:tc>
                <w:tcPr>
                  <w:tcW w:w="1701" w:type="dxa"/>
                  <w:vAlign w:val="center"/>
                </w:tcPr>
                <w:p>
                  <w:pPr>
                    <w:jc w:val="center"/>
                    <w:rPr>
                      <w:sz w:val="21"/>
                      <w:szCs w:val="21"/>
                    </w:rPr>
                  </w:pPr>
                  <w:r>
                    <w:rPr>
                      <w:rFonts w:hint="eastAsia"/>
                      <w:bCs/>
                      <w:szCs w:val="21"/>
                    </w:rPr>
                    <w:t>中频炉</w:t>
                  </w:r>
                </w:p>
              </w:tc>
              <w:tc>
                <w:tcPr>
                  <w:tcW w:w="1842" w:type="dxa"/>
                  <w:vAlign w:val="center"/>
                </w:tcPr>
                <w:p>
                  <w:pPr>
                    <w:jc w:val="center"/>
                    <w:rPr>
                      <w:sz w:val="21"/>
                      <w:szCs w:val="21"/>
                    </w:rPr>
                  </w:pPr>
                  <w:r>
                    <w:rPr>
                      <w:rFonts w:hint="eastAsia"/>
                      <w:bCs/>
                      <w:szCs w:val="21"/>
                      <w:lang w:val="en-US" w:eastAsia="zh-CN"/>
                    </w:rPr>
                    <w:t>3</w:t>
                  </w:r>
                </w:p>
              </w:tc>
              <w:tc>
                <w:tcPr>
                  <w:tcW w:w="2728" w:type="dxa"/>
                  <w:vAlign w:val="center"/>
                </w:tcPr>
                <w:p>
                  <w:pPr>
                    <w:pStyle w:val="92"/>
                    <w:spacing w:line="240" w:lineRule="auto"/>
                    <w:ind w:firstLine="0" w:firstLineChars="0"/>
                    <w:jc w:val="center"/>
                    <w:rPr>
                      <w:sz w:val="21"/>
                      <w:szCs w:val="21"/>
                    </w:rPr>
                  </w:pPr>
                  <w:r>
                    <w:rPr>
                      <w:rFonts w:hint="eastAsia"/>
                      <w:sz w:val="21"/>
                      <w:szCs w:val="21"/>
                    </w:rPr>
                    <w:t>70-75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13</w:t>
                  </w:r>
                </w:p>
              </w:tc>
              <w:tc>
                <w:tcPr>
                  <w:tcW w:w="1701" w:type="dxa"/>
                  <w:vAlign w:val="center"/>
                </w:tcPr>
                <w:p>
                  <w:pPr>
                    <w:jc w:val="center"/>
                    <w:rPr>
                      <w:sz w:val="21"/>
                      <w:szCs w:val="21"/>
                    </w:rPr>
                  </w:pPr>
                  <w:r>
                    <w:rPr>
                      <w:rFonts w:hint="eastAsia"/>
                      <w:bCs/>
                      <w:szCs w:val="21"/>
                    </w:rPr>
                    <w:t>拉床</w:t>
                  </w:r>
                </w:p>
              </w:tc>
              <w:tc>
                <w:tcPr>
                  <w:tcW w:w="1842" w:type="dxa"/>
                  <w:vAlign w:val="center"/>
                </w:tcPr>
                <w:p>
                  <w:pPr>
                    <w:jc w:val="center"/>
                    <w:rPr>
                      <w:sz w:val="21"/>
                      <w:szCs w:val="21"/>
                    </w:rPr>
                  </w:pPr>
                  <w:r>
                    <w:rPr>
                      <w:rFonts w:hint="eastAsia"/>
                      <w:bCs/>
                      <w:szCs w:val="21"/>
                    </w:rPr>
                    <w:t>10</w:t>
                  </w:r>
                </w:p>
              </w:tc>
              <w:tc>
                <w:tcPr>
                  <w:tcW w:w="2728" w:type="dxa"/>
                  <w:vAlign w:val="center"/>
                </w:tcPr>
                <w:p>
                  <w:pPr>
                    <w:pStyle w:val="92"/>
                    <w:spacing w:line="240" w:lineRule="auto"/>
                    <w:ind w:firstLine="0" w:firstLineChars="0"/>
                    <w:jc w:val="center"/>
                    <w:rPr>
                      <w:sz w:val="21"/>
                      <w:szCs w:val="21"/>
                    </w:rPr>
                  </w:pPr>
                  <w:r>
                    <w:rPr>
                      <w:rFonts w:hint="eastAsia"/>
                      <w:sz w:val="21"/>
                      <w:szCs w:val="21"/>
                    </w:rPr>
                    <w:t>80-85</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14</w:t>
                  </w:r>
                </w:p>
              </w:tc>
              <w:tc>
                <w:tcPr>
                  <w:tcW w:w="1701" w:type="dxa"/>
                  <w:vAlign w:val="center"/>
                </w:tcPr>
                <w:p>
                  <w:pPr>
                    <w:jc w:val="center"/>
                    <w:rPr>
                      <w:sz w:val="21"/>
                      <w:szCs w:val="21"/>
                    </w:rPr>
                  </w:pPr>
                  <w:r>
                    <w:rPr>
                      <w:rFonts w:hint="eastAsia"/>
                      <w:bCs/>
                      <w:szCs w:val="21"/>
                      <w:lang w:val="en-US" w:eastAsia="zh-CN"/>
                    </w:rPr>
                    <w:t>压滤机</w:t>
                  </w:r>
                </w:p>
              </w:tc>
              <w:tc>
                <w:tcPr>
                  <w:tcW w:w="1842" w:type="dxa"/>
                  <w:vAlign w:val="center"/>
                </w:tcPr>
                <w:p>
                  <w:pPr>
                    <w:jc w:val="center"/>
                    <w:rPr>
                      <w:sz w:val="21"/>
                      <w:szCs w:val="21"/>
                    </w:rPr>
                  </w:pPr>
                  <w:r>
                    <w:rPr>
                      <w:rFonts w:hint="eastAsia"/>
                      <w:bCs/>
                      <w:szCs w:val="21"/>
                      <w:lang w:val="en-US" w:eastAsia="zh-CN"/>
                    </w:rPr>
                    <w:t>1</w:t>
                  </w:r>
                </w:p>
              </w:tc>
              <w:tc>
                <w:tcPr>
                  <w:tcW w:w="2728" w:type="dxa"/>
                  <w:vAlign w:val="center"/>
                </w:tcPr>
                <w:p>
                  <w:pPr>
                    <w:pStyle w:val="92"/>
                    <w:spacing w:line="240" w:lineRule="auto"/>
                    <w:ind w:firstLine="0" w:firstLineChars="0"/>
                    <w:jc w:val="center"/>
                    <w:rPr>
                      <w:sz w:val="21"/>
                      <w:szCs w:val="21"/>
                    </w:rPr>
                  </w:pPr>
                  <w:r>
                    <w:rPr>
                      <w:sz w:val="21"/>
                      <w:szCs w:val="21"/>
                    </w:rPr>
                    <w:t>75-80</w:t>
                  </w:r>
                </w:p>
              </w:tc>
              <w:tc>
                <w:tcPr>
                  <w:tcW w:w="1815" w:type="dxa"/>
                  <w:vMerge w:val="continue"/>
                  <w:vAlign w:val="center"/>
                </w:tcPr>
                <w:p>
                  <w:pPr>
                    <w:pStyle w:val="9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78" w:type="dxa"/>
                  <w:vAlign w:val="center"/>
                </w:tcPr>
                <w:p>
                  <w:pPr>
                    <w:pStyle w:val="92"/>
                    <w:spacing w:line="240" w:lineRule="auto"/>
                    <w:ind w:firstLine="0" w:firstLineChars="0"/>
                    <w:jc w:val="center"/>
                    <w:rPr>
                      <w:sz w:val="21"/>
                      <w:szCs w:val="21"/>
                    </w:rPr>
                  </w:pPr>
                  <w:r>
                    <w:rPr>
                      <w:rFonts w:hint="eastAsia"/>
                      <w:sz w:val="21"/>
                      <w:szCs w:val="21"/>
                    </w:rPr>
                    <w:t>15</w:t>
                  </w:r>
                </w:p>
              </w:tc>
              <w:tc>
                <w:tcPr>
                  <w:tcW w:w="1701" w:type="dxa"/>
                  <w:vAlign w:val="center"/>
                </w:tcPr>
                <w:p>
                  <w:pPr>
                    <w:jc w:val="center"/>
                    <w:rPr>
                      <w:sz w:val="21"/>
                      <w:szCs w:val="21"/>
                    </w:rPr>
                  </w:pPr>
                  <w:r>
                    <w:rPr>
                      <w:rFonts w:hint="eastAsia"/>
                      <w:bCs/>
                      <w:szCs w:val="21"/>
                    </w:rPr>
                    <w:t>火花机</w:t>
                  </w:r>
                </w:p>
              </w:tc>
              <w:tc>
                <w:tcPr>
                  <w:tcW w:w="1842" w:type="dxa"/>
                  <w:vAlign w:val="center"/>
                </w:tcPr>
                <w:p>
                  <w:pPr>
                    <w:jc w:val="center"/>
                    <w:rPr>
                      <w:sz w:val="21"/>
                      <w:szCs w:val="21"/>
                    </w:rPr>
                  </w:pPr>
                  <w:r>
                    <w:rPr>
                      <w:rFonts w:hint="eastAsia"/>
                      <w:bCs/>
                      <w:szCs w:val="21"/>
                      <w:lang w:val="en-US" w:eastAsia="zh-CN"/>
                    </w:rPr>
                    <w:t>1</w:t>
                  </w:r>
                </w:p>
              </w:tc>
              <w:tc>
                <w:tcPr>
                  <w:tcW w:w="2728" w:type="dxa"/>
                  <w:vAlign w:val="center"/>
                </w:tcPr>
                <w:p>
                  <w:pPr>
                    <w:pStyle w:val="92"/>
                    <w:spacing w:line="240" w:lineRule="auto"/>
                    <w:ind w:firstLine="0" w:firstLineChars="0"/>
                    <w:jc w:val="center"/>
                    <w:rPr>
                      <w:sz w:val="21"/>
                      <w:szCs w:val="21"/>
                    </w:rPr>
                  </w:pPr>
                  <w:r>
                    <w:rPr>
                      <w:rFonts w:hint="eastAsia"/>
                      <w:sz w:val="21"/>
                      <w:szCs w:val="21"/>
                    </w:rPr>
                    <w:t>75-80</w:t>
                  </w:r>
                </w:p>
              </w:tc>
              <w:tc>
                <w:tcPr>
                  <w:tcW w:w="1815" w:type="dxa"/>
                  <w:vMerge w:val="continue"/>
                  <w:vAlign w:val="center"/>
                </w:tcPr>
                <w:p>
                  <w:pPr>
                    <w:pStyle w:val="92"/>
                    <w:spacing w:line="240" w:lineRule="auto"/>
                    <w:ind w:firstLine="0" w:firstLineChars="0"/>
                    <w:jc w:val="center"/>
                    <w:rPr>
                      <w:sz w:val="21"/>
                      <w:szCs w:val="21"/>
                    </w:rPr>
                  </w:pPr>
                </w:p>
              </w:tc>
            </w:tr>
          </w:tbl>
          <w:p>
            <w:pPr>
              <w:tabs>
                <w:tab w:val="left" w:pos="3130"/>
              </w:tabs>
              <w:spacing w:line="360" w:lineRule="auto"/>
              <w:ind w:firstLine="482" w:firstLineChars="200"/>
              <w:rPr>
                <w:b/>
                <w:bCs/>
                <w:sz w:val="24"/>
              </w:rPr>
            </w:pPr>
            <w:r>
              <w:rPr>
                <w:b/>
                <w:bCs/>
                <w:sz w:val="24"/>
              </w:rPr>
              <w:t>4、固体废物</w:t>
            </w:r>
          </w:p>
          <w:p>
            <w:pPr>
              <w:pStyle w:val="12"/>
              <w:spacing w:line="360" w:lineRule="auto"/>
              <w:ind w:firstLine="480" w:firstLineChars="200"/>
            </w:pPr>
            <w:r>
              <w:t>本项目营运期固体废物主要为</w:t>
            </w:r>
            <w:r>
              <w:rPr>
                <w:rFonts w:hint="eastAsia"/>
              </w:rPr>
              <w:t>生产</w:t>
            </w:r>
            <w:r>
              <w:t>固废</w:t>
            </w:r>
            <w:r>
              <w:rPr>
                <w:rFonts w:hint="eastAsia"/>
              </w:rPr>
              <w:t>、</w:t>
            </w:r>
            <w:r>
              <w:t>生活垃圾及危险废物。</w:t>
            </w:r>
          </w:p>
          <w:p>
            <w:pPr>
              <w:pStyle w:val="12"/>
              <w:spacing w:line="360" w:lineRule="auto"/>
              <w:ind w:firstLine="480" w:firstLineChars="200"/>
              <w:rPr>
                <w:rFonts w:hint="eastAsia" w:eastAsia="宋体"/>
                <w:lang w:eastAsia="zh-CN"/>
              </w:rPr>
            </w:pPr>
            <w:r>
              <w:rPr>
                <w:rFonts w:hint="eastAsia"/>
              </w:rPr>
              <w:t>（1）</w:t>
            </w:r>
            <w:r>
              <w:rPr>
                <w:rFonts w:hint="eastAsia"/>
                <w:lang w:eastAsia="zh-CN"/>
              </w:rPr>
              <w:t>除尘系统收集粉尘</w:t>
            </w:r>
          </w:p>
          <w:p>
            <w:pPr>
              <w:pStyle w:val="12"/>
              <w:spacing w:line="360" w:lineRule="auto"/>
              <w:ind w:firstLine="480" w:firstLineChars="200"/>
            </w:pPr>
            <w:r>
              <w:rPr>
                <w:rFonts w:hint="eastAsia"/>
              </w:rPr>
              <w:t>本项目</w:t>
            </w:r>
            <w:r>
              <w:rPr>
                <w:rFonts w:hint="eastAsia"/>
                <w:lang w:eastAsia="zh-CN"/>
              </w:rPr>
              <w:t>除尘系统收集粉尘</w:t>
            </w:r>
            <w:r>
              <w:t>为</w:t>
            </w:r>
            <w:r>
              <w:rPr>
                <w:rFonts w:hint="eastAsia"/>
                <w:lang w:val="en-US" w:eastAsia="zh-CN"/>
              </w:rPr>
              <w:t>0.315</w:t>
            </w:r>
            <w:r>
              <w:t>t/a，该类粉尘为一般</w:t>
            </w:r>
            <w:r>
              <w:rPr>
                <w:rFonts w:hint="eastAsia"/>
              </w:rPr>
              <w:t>工业</w:t>
            </w:r>
            <w:r>
              <w:t>固体废物，</w:t>
            </w:r>
            <w:r>
              <w:rPr>
                <w:rFonts w:hint="eastAsia"/>
              </w:rPr>
              <w:t>送至</w:t>
            </w:r>
            <w:r>
              <w:t>废品站</w:t>
            </w:r>
            <w:r>
              <w:rPr>
                <w:rFonts w:hint="eastAsia"/>
              </w:rPr>
              <w:t>处理</w:t>
            </w:r>
            <w:r>
              <w:t>。</w:t>
            </w:r>
          </w:p>
          <w:p>
            <w:pPr>
              <w:pStyle w:val="12"/>
              <w:spacing w:line="360" w:lineRule="auto"/>
              <w:ind w:firstLine="480" w:firstLineChars="200"/>
            </w:pPr>
            <w:r>
              <w:rPr>
                <w:rFonts w:hint="eastAsia"/>
              </w:rPr>
              <w:t>（2）金属</w:t>
            </w:r>
            <w:r>
              <w:t>边角料</w:t>
            </w:r>
          </w:p>
          <w:p>
            <w:pPr>
              <w:pStyle w:val="12"/>
              <w:spacing w:line="360" w:lineRule="auto"/>
              <w:ind w:firstLine="480" w:firstLineChars="200"/>
            </w:pPr>
            <w:r>
              <w:t>根据</w:t>
            </w:r>
            <w:r>
              <w:rPr>
                <w:rFonts w:hint="eastAsia"/>
              </w:rPr>
              <w:t>业主</w:t>
            </w:r>
            <w:r>
              <w:t>提供的资料，生产过程中，废物料的产生量为原料的10%，本项目会产生的废物料的环节是：</w:t>
            </w:r>
            <w:r>
              <w:rPr>
                <w:rFonts w:hint="eastAsia"/>
              </w:rPr>
              <w:t>断料、</w:t>
            </w:r>
            <w:r>
              <w:t>切</w:t>
            </w:r>
            <w:r>
              <w:rPr>
                <w:rFonts w:hint="eastAsia"/>
              </w:rPr>
              <w:t>边</w:t>
            </w:r>
            <w:r>
              <w:t>、冲口等工序，因此本项目所产生的废物料</w:t>
            </w:r>
            <w:r>
              <w:rPr>
                <w:rFonts w:hint="eastAsia"/>
              </w:rPr>
              <w:t>为</w:t>
            </w:r>
            <w:r>
              <w:rPr>
                <w:rFonts w:hint="eastAsia"/>
                <w:lang w:val="en-US" w:eastAsia="zh-CN"/>
              </w:rPr>
              <w:t>20</w:t>
            </w:r>
            <w:r>
              <w:t>t/a。且为一般固体废物，堆放在厂区一般固体废物</w:t>
            </w:r>
            <w:r>
              <w:rPr>
                <w:rFonts w:hint="eastAsia"/>
              </w:rPr>
              <w:t>暂存间</w:t>
            </w:r>
            <w:r>
              <w:t>定期外售至废品站。</w:t>
            </w:r>
          </w:p>
          <w:p>
            <w:pPr>
              <w:pStyle w:val="12"/>
              <w:spacing w:line="360" w:lineRule="auto"/>
              <w:ind w:firstLine="480" w:firstLineChars="200"/>
            </w:pPr>
            <w:r>
              <w:rPr>
                <w:rFonts w:hint="eastAsia"/>
              </w:rPr>
              <w:t>（</w:t>
            </w:r>
            <w:r>
              <w:rPr>
                <w:rFonts w:hint="eastAsia"/>
                <w:lang w:val="en-US" w:eastAsia="zh-CN"/>
              </w:rPr>
              <w:t>3</w:t>
            </w:r>
            <w:r>
              <w:rPr>
                <w:rFonts w:hint="eastAsia"/>
              </w:rPr>
              <w:t>）废</w:t>
            </w:r>
            <w:r>
              <w:t>润滑油</w:t>
            </w:r>
          </w:p>
          <w:p>
            <w:pPr>
              <w:pStyle w:val="12"/>
              <w:spacing w:line="360" w:lineRule="auto"/>
              <w:ind w:firstLine="480" w:firstLineChars="200"/>
            </w:pPr>
            <w:r>
              <w:rPr>
                <w:rFonts w:hint="eastAsia"/>
              </w:rPr>
              <w:t>项目</w:t>
            </w:r>
            <w:r>
              <w:t>废润滑油产生量为</w:t>
            </w:r>
            <w:r>
              <w:rPr>
                <w:rFonts w:hint="eastAsia"/>
              </w:rPr>
              <w:t>0.1</w:t>
            </w:r>
            <w:r>
              <w:t>t/a，属于危险废物，</w:t>
            </w:r>
            <w:r>
              <w:rPr>
                <w:rFonts w:hint="eastAsia"/>
              </w:rPr>
              <w:t>需要</w:t>
            </w:r>
            <w:r>
              <w:t>委托有资质单位处理。</w:t>
            </w:r>
          </w:p>
          <w:p>
            <w:pPr>
              <w:pStyle w:val="12"/>
              <w:spacing w:line="360" w:lineRule="auto"/>
              <w:ind w:firstLine="480" w:firstLineChars="200"/>
            </w:pPr>
            <w:r>
              <w:rPr>
                <w:rFonts w:hint="eastAsia"/>
              </w:rPr>
              <w:t>（</w:t>
            </w:r>
            <w:r>
              <w:rPr>
                <w:rFonts w:hint="eastAsia"/>
                <w:lang w:val="en-US" w:eastAsia="zh-CN"/>
              </w:rPr>
              <w:t>4</w:t>
            </w:r>
            <w:r>
              <w:rPr>
                <w:rFonts w:hint="eastAsia"/>
              </w:rPr>
              <w:t>）沉淀池沉渣</w:t>
            </w:r>
          </w:p>
          <w:p>
            <w:pPr>
              <w:pStyle w:val="12"/>
              <w:spacing w:line="360" w:lineRule="auto"/>
              <w:ind w:firstLine="480" w:firstLineChars="200"/>
            </w:pPr>
            <w:r>
              <w:rPr>
                <w:rFonts w:hint="eastAsia"/>
              </w:rPr>
              <w:t>沉淀池</w:t>
            </w:r>
            <w:r>
              <w:t>沉淀</w:t>
            </w:r>
            <w:r>
              <w:rPr>
                <w:rFonts w:hint="eastAsia"/>
              </w:rPr>
              <w:t>后</w:t>
            </w:r>
            <w:r>
              <w:t>，研磨废水产生的</w:t>
            </w:r>
            <w:r>
              <w:rPr>
                <w:rFonts w:hint="eastAsia"/>
              </w:rPr>
              <w:t>沉渣</w:t>
            </w:r>
            <w:r>
              <w:t>约为</w:t>
            </w:r>
            <w:r>
              <w:rPr>
                <w:rFonts w:hint="eastAsia"/>
              </w:rPr>
              <w:t>0.2</w:t>
            </w:r>
            <w:r>
              <w:t>t/a，属于</w:t>
            </w:r>
            <w:r>
              <w:rPr>
                <w:rFonts w:hint="eastAsia"/>
              </w:rPr>
              <w:t>一般</w:t>
            </w:r>
            <w:r>
              <w:t>固体废物，</w:t>
            </w:r>
            <w:r>
              <w:rPr>
                <w:rFonts w:hint="eastAsia"/>
                <w:lang w:eastAsia="zh-CN"/>
              </w:rPr>
              <w:t>定期经压滤机压滤后，送往垃圾填埋场处理</w:t>
            </w:r>
            <w:r>
              <w:rPr>
                <w:rFonts w:hint="eastAsia"/>
              </w:rPr>
              <w:t>。</w:t>
            </w:r>
          </w:p>
          <w:p>
            <w:pPr>
              <w:pStyle w:val="12"/>
              <w:spacing w:line="360" w:lineRule="auto"/>
              <w:ind w:firstLine="480" w:firstLineChars="200"/>
            </w:pPr>
            <w:r>
              <w:rPr>
                <w:rFonts w:hint="eastAsia"/>
              </w:rPr>
              <w:t>（</w:t>
            </w:r>
            <w:r>
              <w:rPr>
                <w:rFonts w:hint="eastAsia"/>
                <w:lang w:val="en-US" w:eastAsia="zh-CN"/>
              </w:rPr>
              <w:t>5</w:t>
            </w:r>
            <w:r>
              <w:rPr>
                <w:rFonts w:hint="eastAsia"/>
              </w:rPr>
              <w:t>）生活</w:t>
            </w:r>
            <w:r>
              <w:t>垃圾</w:t>
            </w:r>
          </w:p>
          <w:p>
            <w:pPr>
              <w:pStyle w:val="9"/>
              <w:adjustRightInd w:val="0"/>
              <w:snapToGrid w:val="0"/>
              <w:spacing w:line="360" w:lineRule="auto"/>
              <w:ind w:firstLine="480"/>
              <w:rPr>
                <w:b/>
                <w:bCs/>
              </w:rPr>
            </w:pPr>
            <w:r>
              <w:rPr>
                <w:sz w:val="24"/>
              </w:rPr>
              <w:t>项目生活垃圾产生量按0.5kg/人·d计，</w:t>
            </w:r>
            <w:r>
              <w:rPr>
                <w:kern w:val="0"/>
                <w:sz w:val="24"/>
              </w:rPr>
              <w:t>本项目劳动定员为</w:t>
            </w:r>
            <w:r>
              <w:rPr>
                <w:rFonts w:hint="eastAsia"/>
                <w:kern w:val="0"/>
                <w:sz w:val="24"/>
                <w:lang w:val="en-US" w:eastAsia="zh-CN"/>
              </w:rPr>
              <w:t>3</w:t>
            </w:r>
            <w:r>
              <w:rPr>
                <w:kern w:val="0"/>
                <w:sz w:val="24"/>
              </w:rPr>
              <w:t>0人，</w:t>
            </w:r>
            <w:r>
              <w:rPr>
                <w:sz w:val="24"/>
              </w:rPr>
              <w:t>则生活垃圾产生量为</w:t>
            </w:r>
            <w:r>
              <w:rPr>
                <w:rFonts w:hint="eastAsia"/>
                <w:sz w:val="24"/>
                <w:lang w:val="en-US" w:eastAsia="zh-CN"/>
              </w:rPr>
              <w:t>1</w:t>
            </w:r>
            <w:r>
              <w:rPr>
                <w:sz w:val="24"/>
              </w:rPr>
              <w:t>5kg/d（</w:t>
            </w:r>
            <w:r>
              <w:rPr>
                <w:rFonts w:hint="eastAsia"/>
                <w:sz w:val="24"/>
                <w:lang w:eastAsia="zh-CN"/>
              </w:rPr>
              <w:t>4.5t</w:t>
            </w:r>
            <w:r>
              <w:rPr>
                <w:sz w:val="24"/>
              </w:rPr>
              <w:t>/a）。生活垃圾经集中收集后，由环卫部门统一清运处理。</w:t>
            </w:r>
          </w:p>
          <w:p>
            <w:pPr>
              <w:pStyle w:val="12"/>
              <w:spacing w:line="360" w:lineRule="auto"/>
              <w:ind w:firstLine="480" w:firstLineChars="200"/>
            </w:pPr>
            <w:r>
              <w:rPr>
                <w:rFonts w:hint="eastAsia"/>
              </w:rPr>
              <w:t>本项目</w:t>
            </w:r>
            <w:r>
              <w:t>具体固体废物产生详见下表。</w:t>
            </w:r>
          </w:p>
          <w:p>
            <w:pPr>
              <w:pStyle w:val="113"/>
              <w:rPr>
                <w:u w:val="none"/>
              </w:rPr>
            </w:pPr>
            <w:r>
              <w:rPr>
                <w:u w:val="none"/>
              </w:rPr>
              <w:t>表5-3  本项目固废产生情况一览表</w:t>
            </w:r>
          </w:p>
          <w:tbl>
            <w:tblPr>
              <w:tblStyle w:val="38"/>
              <w:tblW w:w="906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3" w:type="dxa"/>
                <w:bottom w:w="0" w:type="dxa"/>
                <w:right w:w="23" w:type="dxa"/>
              </w:tblCellMar>
            </w:tblPr>
            <w:tblGrid>
              <w:gridCol w:w="2339"/>
              <w:gridCol w:w="1332"/>
              <w:gridCol w:w="1844"/>
              <w:gridCol w:w="35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3" w:type="dxa"/>
                  <w:bottom w:w="0" w:type="dxa"/>
                  <w:right w:w="23" w:type="dxa"/>
                </w:tblCellMar>
              </w:tblPrEx>
              <w:trPr>
                <w:trHeight w:val="454" w:hRule="atLeast"/>
                <w:jc w:val="center"/>
              </w:trPr>
              <w:tc>
                <w:tcPr>
                  <w:tcW w:w="2339" w:type="dxa"/>
                  <w:vAlign w:val="center"/>
                </w:tcPr>
                <w:p>
                  <w:pPr>
                    <w:jc w:val="center"/>
                  </w:pPr>
                  <w:r>
                    <w:t>名称</w:t>
                  </w:r>
                </w:p>
              </w:tc>
              <w:tc>
                <w:tcPr>
                  <w:tcW w:w="1332" w:type="dxa"/>
                  <w:vAlign w:val="center"/>
                </w:tcPr>
                <w:p>
                  <w:pPr>
                    <w:jc w:val="center"/>
                  </w:pPr>
                  <w:r>
                    <w:t>产生量t/a</w:t>
                  </w:r>
                </w:p>
              </w:tc>
              <w:tc>
                <w:tcPr>
                  <w:tcW w:w="1844" w:type="dxa"/>
                  <w:vAlign w:val="center"/>
                </w:tcPr>
                <w:p>
                  <w:pPr>
                    <w:jc w:val="center"/>
                  </w:pPr>
                  <w:r>
                    <w:t>固废性质</w:t>
                  </w:r>
                </w:p>
              </w:tc>
              <w:tc>
                <w:tcPr>
                  <w:tcW w:w="3549" w:type="dxa"/>
                  <w:vAlign w:val="center"/>
                </w:tcPr>
                <w:p>
                  <w:pPr>
                    <w:jc w:val="center"/>
                  </w:pPr>
                  <w:r>
                    <w:t>拟采取处置方式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3" w:type="dxa"/>
                  <w:bottom w:w="0" w:type="dxa"/>
                  <w:right w:w="23" w:type="dxa"/>
                </w:tblCellMar>
              </w:tblPrEx>
              <w:trPr>
                <w:trHeight w:val="454" w:hRule="atLeast"/>
                <w:jc w:val="center"/>
              </w:trPr>
              <w:tc>
                <w:tcPr>
                  <w:tcW w:w="2339" w:type="dxa"/>
                  <w:vAlign w:val="center"/>
                </w:tcPr>
                <w:p>
                  <w:pPr>
                    <w:jc w:val="center"/>
                    <w:rPr>
                      <w:rFonts w:hint="eastAsia" w:eastAsia="宋体"/>
                      <w:lang w:eastAsia="zh-CN"/>
                    </w:rPr>
                  </w:pPr>
                  <w:r>
                    <w:rPr>
                      <w:rFonts w:hint="eastAsia"/>
                      <w:lang w:eastAsia="zh-CN"/>
                    </w:rPr>
                    <w:t>除尘系统收集粉尘</w:t>
                  </w:r>
                </w:p>
              </w:tc>
              <w:tc>
                <w:tcPr>
                  <w:tcW w:w="1332" w:type="dxa"/>
                  <w:vAlign w:val="center"/>
                </w:tcPr>
                <w:p>
                  <w:pPr>
                    <w:jc w:val="center"/>
                    <w:rPr>
                      <w:rFonts w:hint="eastAsia" w:eastAsia="宋体"/>
                      <w:lang w:val="en-US" w:eastAsia="zh-CN"/>
                    </w:rPr>
                  </w:pPr>
                  <w:r>
                    <w:rPr>
                      <w:rFonts w:hint="eastAsia"/>
                      <w:lang w:val="en-US" w:eastAsia="zh-CN"/>
                    </w:rPr>
                    <w:t>0.315</w:t>
                  </w:r>
                </w:p>
              </w:tc>
              <w:tc>
                <w:tcPr>
                  <w:tcW w:w="1844" w:type="dxa"/>
                  <w:vAlign w:val="center"/>
                </w:tcPr>
                <w:p>
                  <w:pPr>
                    <w:jc w:val="center"/>
                  </w:pPr>
                  <w:r>
                    <w:t>一般固体废物</w:t>
                  </w:r>
                </w:p>
              </w:tc>
              <w:tc>
                <w:tcPr>
                  <w:tcW w:w="3549" w:type="dxa"/>
                  <w:vAlign w:val="center"/>
                </w:tcPr>
                <w:p>
                  <w:pPr>
                    <w:jc w:val="center"/>
                  </w:pPr>
                  <w:r>
                    <w:rPr>
                      <w:rFonts w:hint="eastAsia"/>
                      <w:szCs w:val="21"/>
                    </w:rPr>
                    <w:t>集中</w:t>
                  </w:r>
                  <w:r>
                    <w:rPr>
                      <w:szCs w:val="21"/>
                    </w:rPr>
                    <w:t>收集，</w:t>
                  </w:r>
                  <w:r>
                    <w:rPr>
                      <w:rFonts w:hint="eastAsia"/>
                    </w:rPr>
                    <w:t>送至</w:t>
                  </w:r>
                  <w:r>
                    <w:t>废品站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3" w:type="dxa"/>
                  <w:bottom w:w="0" w:type="dxa"/>
                  <w:right w:w="23" w:type="dxa"/>
                </w:tblCellMar>
              </w:tblPrEx>
              <w:trPr>
                <w:trHeight w:val="454" w:hRule="atLeast"/>
                <w:jc w:val="center"/>
              </w:trPr>
              <w:tc>
                <w:tcPr>
                  <w:tcW w:w="2339" w:type="dxa"/>
                  <w:vAlign w:val="center"/>
                </w:tcPr>
                <w:p>
                  <w:pPr>
                    <w:jc w:val="center"/>
                  </w:pPr>
                  <w:r>
                    <w:rPr>
                      <w:rFonts w:hint="eastAsia"/>
                    </w:rPr>
                    <w:t>金属</w:t>
                  </w:r>
                  <w:r>
                    <w:t>边角料</w:t>
                  </w:r>
                </w:p>
              </w:tc>
              <w:tc>
                <w:tcPr>
                  <w:tcW w:w="1332" w:type="dxa"/>
                  <w:vAlign w:val="center"/>
                </w:tcPr>
                <w:p>
                  <w:pPr>
                    <w:jc w:val="center"/>
                    <w:rPr>
                      <w:rFonts w:hint="eastAsia" w:eastAsia="宋体"/>
                      <w:lang w:val="en-US" w:eastAsia="zh-CN"/>
                    </w:rPr>
                  </w:pPr>
                  <w:r>
                    <w:rPr>
                      <w:rFonts w:hint="eastAsia"/>
                      <w:lang w:val="en-US" w:eastAsia="zh-CN"/>
                    </w:rPr>
                    <w:t>20</w:t>
                  </w:r>
                </w:p>
              </w:tc>
              <w:tc>
                <w:tcPr>
                  <w:tcW w:w="1844" w:type="dxa"/>
                  <w:vAlign w:val="center"/>
                </w:tcPr>
                <w:p>
                  <w:pPr>
                    <w:jc w:val="center"/>
                  </w:pPr>
                  <w:r>
                    <w:t>一般固体废物</w:t>
                  </w:r>
                </w:p>
              </w:tc>
              <w:tc>
                <w:tcPr>
                  <w:tcW w:w="3549" w:type="dxa"/>
                  <w:vAlign w:val="center"/>
                </w:tcPr>
                <w:p>
                  <w:pPr>
                    <w:jc w:val="center"/>
                  </w:pPr>
                  <w:r>
                    <w:rPr>
                      <w:rFonts w:hint="eastAsia"/>
                      <w:szCs w:val="21"/>
                    </w:rPr>
                    <w:t>集中</w:t>
                  </w:r>
                  <w:r>
                    <w:rPr>
                      <w:szCs w:val="21"/>
                    </w:rPr>
                    <w:t>收集，</w:t>
                  </w:r>
                  <w:r>
                    <w:rPr>
                      <w:rFonts w:hint="eastAsia"/>
                    </w:rPr>
                    <w:t>送至</w:t>
                  </w:r>
                  <w:r>
                    <w:t>废品站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3" w:type="dxa"/>
                  <w:bottom w:w="0" w:type="dxa"/>
                  <w:right w:w="23" w:type="dxa"/>
                </w:tblCellMar>
              </w:tblPrEx>
              <w:trPr>
                <w:trHeight w:val="454" w:hRule="atLeast"/>
                <w:jc w:val="center"/>
              </w:trPr>
              <w:tc>
                <w:tcPr>
                  <w:tcW w:w="2339" w:type="dxa"/>
                  <w:vAlign w:val="center"/>
                </w:tcPr>
                <w:p>
                  <w:pPr>
                    <w:jc w:val="center"/>
                  </w:pPr>
                  <w:r>
                    <w:rPr>
                      <w:rFonts w:hint="eastAsia"/>
                    </w:rPr>
                    <w:t>废</w:t>
                  </w:r>
                  <w:r>
                    <w:t>润滑</w:t>
                  </w:r>
                  <w:r>
                    <w:rPr>
                      <w:rFonts w:hint="eastAsia"/>
                    </w:rPr>
                    <w:t>油</w:t>
                  </w:r>
                </w:p>
              </w:tc>
              <w:tc>
                <w:tcPr>
                  <w:tcW w:w="1332" w:type="dxa"/>
                  <w:vAlign w:val="center"/>
                </w:tcPr>
                <w:p>
                  <w:pPr>
                    <w:jc w:val="center"/>
                  </w:pPr>
                  <w:r>
                    <w:rPr>
                      <w:rFonts w:hint="eastAsia"/>
                    </w:rPr>
                    <w:t>0.1</w:t>
                  </w:r>
                </w:p>
              </w:tc>
              <w:tc>
                <w:tcPr>
                  <w:tcW w:w="1844" w:type="dxa"/>
                  <w:vAlign w:val="center"/>
                </w:tcPr>
                <w:p>
                  <w:pPr>
                    <w:jc w:val="center"/>
                  </w:pPr>
                  <w:r>
                    <w:rPr>
                      <w:rFonts w:hint="eastAsia"/>
                      <w:szCs w:val="21"/>
                    </w:rPr>
                    <w:t>危险</w:t>
                  </w:r>
                  <w:r>
                    <w:rPr>
                      <w:szCs w:val="21"/>
                    </w:rPr>
                    <w:t xml:space="preserve">废物HW08 </w:t>
                  </w:r>
                  <w:r>
                    <w:rPr>
                      <w:rFonts w:hint="eastAsia"/>
                      <w:szCs w:val="21"/>
                    </w:rPr>
                    <w:t>（</w:t>
                  </w:r>
                  <w:r>
                    <w:rPr>
                      <w:szCs w:val="21"/>
                    </w:rPr>
                    <w:t>900-214-08</w:t>
                  </w:r>
                  <w:r>
                    <w:rPr>
                      <w:rFonts w:hint="eastAsia"/>
                      <w:szCs w:val="21"/>
                    </w:rPr>
                    <w:t>）</w:t>
                  </w:r>
                </w:p>
              </w:tc>
              <w:tc>
                <w:tcPr>
                  <w:tcW w:w="3549" w:type="dxa"/>
                  <w:vAlign w:val="center"/>
                </w:tcPr>
                <w:p>
                  <w:pPr>
                    <w:jc w:val="center"/>
                  </w:pPr>
                  <w:r>
                    <w:rPr>
                      <w:rFonts w:hint="eastAsia"/>
                      <w:szCs w:val="21"/>
                    </w:rPr>
                    <w:t>集中</w:t>
                  </w:r>
                  <w:r>
                    <w:rPr>
                      <w:szCs w:val="21"/>
                    </w:rPr>
                    <w:t>收集</w:t>
                  </w:r>
                  <w:r>
                    <w:rPr>
                      <w:rFonts w:hint="eastAsia"/>
                      <w:szCs w:val="21"/>
                    </w:rPr>
                    <w:t>，</w:t>
                  </w:r>
                  <w:r>
                    <w:rPr>
                      <w:szCs w:val="21"/>
                    </w:rPr>
                    <w:t>委托有资质单位处理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3" w:type="dxa"/>
                  <w:bottom w:w="0" w:type="dxa"/>
                  <w:right w:w="23" w:type="dxa"/>
                </w:tblCellMar>
              </w:tblPrEx>
              <w:trPr>
                <w:trHeight w:val="454" w:hRule="atLeast"/>
                <w:jc w:val="center"/>
              </w:trPr>
              <w:tc>
                <w:tcPr>
                  <w:tcW w:w="2339" w:type="dxa"/>
                  <w:vAlign w:val="center"/>
                </w:tcPr>
                <w:p>
                  <w:pPr>
                    <w:jc w:val="center"/>
                  </w:pPr>
                  <w:r>
                    <w:rPr>
                      <w:rFonts w:hint="eastAsia"/>
                    </w:rPr>
                    <w:t>沉淀池</w:t>
                  </w:r>
                  <w:r>
                    <w:t>沉渣</w:t>
                  </w:r>
                </w:p>
              </w:tc>
              <w:tc>
                <w:tcPr>
                  <w:tcW w:w="1332" w:type="dxa"/>
                  <w:vAlign w:val="center"/>
                </w:tcPr>
                <w:p>
                  <w:pPr>
                    <w:jc w:val="center"/>
                  </w:pPr>
                  <w:r>
                    <w:rPr>
                      <w:rFonts w:hint="eastAsia"/>
                    </w:rPr>
                    <w:t>0.2</w:t>
                  </w:r>
                </w:p>
              </w:tc>
              <w:tc>
                <w:tcPr>
                  <w:tcW w:w="1844" w:type="dxa"/>
                  <w:vAlign w:val="center"/>
                </w:tcPr>
                <w:p>
                  <w:pPr>
                    <w:jc w:val="center"/>
                  </w:pPr>
                  <w:r>
                    <w:rPr>
                      <w:rFonts w:hint="eastAsia"/>
                    </w:rPr>
                    <w:t>一般</w:t>
                  </w:r>
                  <w:r>
                    <w:t>固体废物</w:t>
                  </w:r>
                </w:p>
              </w:tc>
              <w:tc>
                <w:tcPr>
                  <w:tcW w:w="3549" w:type="dxa"/>
                  <w:vAlign w:val="center"/>
                </w:tcPr>
                <w:p>
                  <w:pPr>
                    <w:jc w:val="center"/>
                    <w:rPr>
                      <w:rFonts w:hint="eastAsia" w:eastAsia="宋体"/>
                      <w:lang w:eastAsia="zh-CN"/>
                    </w:rPr>
                  </w:pPr>
                  <w:r>
                    <w:rPr>
                      <w:rFonts w:hint="eastAsia"/>
                      <w:lang w:eastAsia="zh-CN"/>
                    </w:rPr>
                    <w:t>定期经压滤机压滤后，送往垃圾填埋场处理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3" w:type="dxa"/>
                  <w:bottom w:w="0" w:type="dxa"/>
                  <w:right w:w="23" w:type="dxa"/>
                </w:tblCellMar>
              </w:tblPrEx>
              <w:trPr>
                <w:trHeight w:val="454" w:hRule="atLeast"/>
                <w:jc w:val="center"/>
              </w:trPr>
              <w:tc>
                <w:tcPr>
                  <w:tcW w:w="2339" w:type="dxa"/>
                  <w:vAlign w:val="center"/>
                </w:tcPr>
                <w:p>
                  <w:pPr>
                    <w:jc w:val="center"/>
                  </w:pPr>
                  <w:r>
                    <w:rPr>
                      <w:rFonts w:hint="eastAsia"/>
                    </w:rPr>
                    <w:t>生活</w:t>
                  </w:r>
                  <w:r>
                    <w:t>垃圾</w:t>
                  </w:r>
                </w:p>
              </w:tc>
              <w:tc>
                <w:tcPr>
                  <w:tcW w:w="1332" w:type="dxa"/>
                  <w:vAlign w:val="center"/>
                </w:tcPr>
                <w:p>
                  <w:pPr>
                    <w:jc w:val="center"/>
                    <w:rPr>
                      <w:rFonts w:hint="eastAsia" w:eastAsia="宋体"/>
                      <w:lang w:val="en-US" w:eastAsia="zh-CN"/>
                    </w:rPr>
                  </w:pPr>
                  <w:r>
                    <w:rPr>
                      <w:rFonts w:hint="eastAsia"/>
                      <w:lang w:val="en-US" w:eastAsia="zh-CN"/>
                    </w:rPr>
                    <w:t>4.5</w:t>
                  </w:r>
                </w:p>
              </w:tc>
              <w:tc>
                <w:tcPr>
                  <w:tcW w:w="1844" w:type="dxa"/>
                  <w:vAlign w:val="center"/>
                </w:tcPr>
                <w:p>
                  <w:pPr>
                    <w:jc w:val="center"/>
                  </w:pPr>
                  <w:r>
                    <w:rPr>
                      <w:rFonts w:hint="eastAsia"/>
                    </w:rPr>
                    <w:t>生活</w:t>
                  </w:r>
                  <w:r>
                    <w:t>垃圾</w:t>
                  </w:r>
                </w:p>
              </w:tc>
              <w:tc>
                <w:tcPr>
                  <w:tcW w:w="3549" w:type="dxa"/>
                  <w:vAlign w:val="center"/>
                </w:tcPr>
                <w:p>
                  <w:pPr>
                    <w:jc w:val="center"/>
                  </w:pPr>
                  <w:r>
                    <w:rPr>
                      <w:rFonts w:hint="eastAsia"/>
                    </w:rPr>
                    <w:t>交由</w:t>
                  </w:r>
                  <w:r>
                    <w:t>环卫部门处理</w:t>
                  </w:r>
                </w:p>
              </w:tc>
            </w:tr>
          </w:tbl>
          <w:p>
            <w:pPr>
              <w:pStyle w:val="12"/>
            </w:pPr>
          </w:p>
          <w:p>
            <w:pPr>
              <w:pStyle w:val="12"/>
            </w:pPr>
          </w:p>
          <w:p>
            <w:pPr>
              <w:pStyle w:val="12"/>
            </w:pPr>
          </w:p>
          <w:p>
            <w:pPr>
              <w:pStyle w:val="12"/>
            </w:pPr>
          </w:p>
        </w:tc>
      </w:tr>
      <w:bookmarkEnd w:id="45"/>
      <w:bookmarkEnd w:id="46"/>
      <w:bookmarkEnd w:id="47"/>
    </w:tbl>
    <w:p>
      <w:pPr>
        <w:pageBreakBefore/>
        <w:spacing w:line="600" w:lineRule="exact"/>
        <w:outlineLvl w:val="0"/>
        <w:rPr>
          <w:b/>
          <w:sz w:val="32"/>
          <w:szCs w:val="32"/>
        </w:rPr>
      </w:pPr>
      <w:bookmarkStart w:id="48" w:name="_Toc263089109"/>
      <w:bookmarkStart w:id="49" w:name="_Toc514143750"/>
      <w:bookmarkStart w:id="50" w:name="_Toc263088962"/>
      <w:bookmarkStart w:id="51" w:name="_Toc262108317"/>
      <w:bookmarkStart w:id="52" w:name="_Toc457203524"/>
      <w:r>
        <w:rPr>
          <w:b/>
          <w:sz w:val="32"/>
          <w:szCs w:val="32"/>
        </w:rPr>
        <w:t>六、项目主要污染物产生及预计排放情况</w:t>
      </w:r>
      <w:bookmarkEnd w:id="48"/>
      <w:bookmarkEnd w:id="49"/>
      <w:bookmarkEnd w:id="50"/>
      <w:bookmarkEnd w:id="51"/>
      <w:bookmarkEnd w:id="52"/>
    </w:p>
    <w:tbl>
      <w:tblPr>
        <w:tblStyle w:val="38"/>
        <w:tblW w:w="9310" w:type="dxa"/>
        <w:jc w:val="righ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390"/>
        <w:gridCol w:w="1277"/>
        <w:gridCol w:w="1134"/>
        <w:gridCol w:w="1421"/>
        <w:gridCol w:w="1414"/>
        <w:gridCol w:w="1563"/>
        <w:gridCol w:w="1685"/>
      </w:tblGrid>
      <w:tr>
        <w:tblPrEx>
          <w:tblLayout w:type="fixed"/>
          <w:tblCellMar>
            <w:top w:w="0" w:type="dxa"/>
            <w:left w:w="108" w:type="dxa"/>
            <w:bottom w:w="0" w:type="dxa"/>
            <w:right w:w="108" w:type="dxa"/>
          </w:tblCellMar>
        </w:tblPrEx>
        <w:trPr>
          <w:trHeight w:val="567" w:hRule="atLeast"/>
          <w:jc w:val="right"/>
        </w:trPr>
        <w:tc>
          <w:tcPr>
            <w:tcW w:w="816" w:type="dxa"/>
            <w:gridSpan w:val="2"/>
            <w:tcBorders>
              <w:top w:val="single" w:color="auto" w:sz="12" w:space="0"/>
              <w:left w:val="single" w:color="auto" w:sz="12" w:space="0"/>
              <w:bottom w:val="single" w:color="auto" w:sz="6" w:space="0"/>
              <w:right w:val="single" w:color="auto" w:sz="6" w:space="0"/>
            </w:tcBorders>
            <w:vAlign w:val="center"/>
          </w:tcPr>
          <w:p>
            <w:pPr>
              <w:jc w:val="center"/>
              <w:rPr>
                <w:sz w:val="24"/>
                <w:szCs w:val="24"/>
              </w:rPr>
            </w:pPr>
            <w:r>
              <w:rPr>
                <w:sz w:val="24"/>
                <w:szCs w:val="24"/>
              </w:rPr>
              <w:t>内容</w:t>
            </w:r>
          </w:p>
          <w:p>
            <w:pPr>
              <w:jc w:val="center"/>
              <w:rPr>
                <w:sz w:val="24"/>
                <w:szCs w:val="24"/>
              </w:rPr>
            </w:pPr>
            <w:r>
              <w:rPr>
                <w:sz w:val="24"/>
                <w:szCs w:val="24"/>
              </w:rPr>
              <w:t>类型</w:t>
            </w:r>
          </w:p>
        </w:tc>
        <w:tc>
          <w:tcPr>
            <w:tcW w:w="1277" w:type="dxa"/>
            <w:tcBorders>
              <w:top w:val="single" w:color="auto" w:sz="12" w:space="0"/>
              <w:left w:val="single" w:color="auto" w:sz="6" w:space="0"/>
              <w:bottom w:val="single" w:color="auto" w:sz="6" w:space="0"/>
              <w:right w:val="single" w:color="auto" w:sz="6" w:space="0"/>
            </w:tcBorders>
            <w:vAlign w:val="center"/>
          </w:tcPr>
          <w:p>
            <w:pPr>
              <w:jc w:val="center"/>
              <w:rPr>
                <w:sz w:val="24"/>
                <w:szCs w:val="24"/>
              </w:rPr>
            </w:pPr>
            <w:r>
              <w:rPr>
                <w:sz w:val="24"/>
                <w:szCs w:val="24"/>
              </w:rPr>
              <w:t>排放源</w:t>
            </w:r>
          </w:p>
        </w:tc>
        <w:tc>
          <w:tcPr>
            <w:tcW w:w="1134" w:type="dxa"/>
            <w:tcBorders>
              <w:top w:val="single" w:color="auto" w:sz="12" w:space="0"/>
              <w:left w:val="single" w:color="auto" w:sz="6" w:space="0"/>
              <w:bottom w:val="single" w:color="auto" w:sz="6" w:space="0"/>
              <w:right w:val="single" w:color="auto" w:sz="6" w:space="0"/>
            </w:tcBorders>
            <w:vAlign w:val="center"/>
          </w:tcPr>
          <w:p>
            <w:pPr>
              <w:jc w:val="center"/>
              <w:rPr>
                <w:sz w:val="24"/>
                <w:szCs w:val="24"/>
              </w:rPr>
            </w:pPr>
            <w:r>
              <w:rPr>
                <w:sz w:val="24"/>
                <w:szCs w:val="24"/>
              </w:rPr>
              <w:t>污染物</w:t>
            </w:r>
          </w:p>
          <w:p>
            <w:pPr>
              <w:jc w:val="center"/>
              <w:rPr>
                <w:sz w:val="24"/>
                <w:szCs w:val="24"/>
              </w:rPr>
            </w:pPr>
            <w:r>
              <w:rPr>
                <w:sz w:val="24"/>
                <w:szCs w:val="24"/>
              </w:rPr>
              <w:t>名称</w:t>
            </w:r>
          </w:p>
        </w:tc>
        <w:tc>
          <w:tcPr>
            <w:tcW w:w="2835" w:type="dxa"/>
            <w:gridSpan w:val="2"/>
            <w:tcBorders>
              <w:top w:val="single" w:color="auto" w:sz="12" w:space="0"/>
              <w:left w:val="single" w:color="auto" w:sz="6" w:space="0"/>
              <w:bottom w:val="single" w:color="auto" w:sz="6" w:space="0"/>
              <w:right w:val="single" w:color="auto" w:sz="6" w:space="0"/>
            </w:tcBorders>
            <w:vAlign w:val="center"/>
          </w:tcPr>
          <w:p>
            <w:pPr>
              <w:jc w:val="center"/>
              <w:rPr>
                <w:sz w:val="24"/>
                <w:szCs w:val="24"/>
              </w:rPr>
            </w:pPr>
            <w:r>
              <w:rPr>
                <w:sz w:val="24"/>
                <w:szCs w:val="24"/>
              </w:rPr>
              <w:t>处理前浓度及产生量</w:t>
            </w:r>
          </w:p>
        </w:tc>
        <w:tc>
          <w:tcPr>
            <w:tcW w:w="3248" w:type="dxa"/>
            <w:gridSpan w:val="2"/>
            <w:tcBorders>
              <w:top w:val="single" w:color="auto" w:sz="12" w:space="0"/>
              <w:left w:val="single" w:color="auto" w:sz="6" w:space="0"/>
              <w:bottom w:val="single" w:color="auto" w:sz="6" w:space="0"/>
              <w:right w:val="single" w:color="auto" w:sz="12" w:space="0"/>
            </w:tcBorders>
            <w:vAlign w:val="center"/>
          </w:tcPr>
          <w:p>
            <w:pPr>
              <w:jc w:val="center"/>
              <w:rPr>
                <w:sz w:val="24"/>
                <w:szCs w:val="24"/>
              </w:rPr>
            </w:pPr>
            <w:r>
              <w:rPr>
                <w:sz w:val="24"/>
                <w:szCs w:val="24"/>
              </w:rPr>
              <w:t>处理后浓度及排放量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right"/>
        </w:trPr>
        <w:tc>
          <w:tcPr>
            <w:tcW w:w="426" w:type="dxa"/>
            <w:vMerge w:val="restart"/>
            <w:vAlign w:val="center"/>
          </w:tcPr>
          <w:p>
            <w:pPr>
              <w:jc w:val="center"/>
              <w:rPr>
                <w:sz w:val="24"/>
                <w:szCs w:val="24"/>
              </w:rPr>
            </w:pPr>
            <w:r>
              <w:rPr>
                <w:sz w:val="24"/>
                <w:szCs w:val="24"/>
              </w:rPr>
              <w:t>运营</w:t>
            </w:r>
          </w:p>
          <w:p>
            <w:pPr>
              <w:jc w:val="center"/>
              <w:rPr>
                <w:sz w:val="24"/>
                <w:szCs w:val="24"/>
              </w:rPr>
            </w:pPr>
            <w:r>
              <w:rPr>
                <w:sz w:val="24"/>
                <w:szCs w:val="24"/>
              </w:rPr>
              <w:t>期</w:t>
            </w:r>
          </w:p>
        </w:tc>
        <w:tc>
          <w:tcPr>
            <w:tcW w:w="390" w:type="dxa"/>
            <w:vMerge w:val="restart"/>
            <w:vAlign w:val="center"/>
          </w:tcPr>
          <w:p>
            <w:pPr>
              <w:jc w:val="center"/>
              <w:rPr>
                <w:sz w:val="24"/>
                <w:szCs w:val="24"/>
              </w:rPr>
            </w:pPr>
            <w:r>
              <w:rPr>
                <w:sz w:val="24"/>
                <w:szCs w:val="24"/>
              </w:rPr>
              <w:t>废水</w:t>
            </w:r>
          </w:p>
        </w:tc>
        <w:tc>
          <w:tcPr>
            <w:tcW w:w="1277" w:type="dxa"/>
            <w:vMerge w:val="restart"/>
            <w:vAlign w:val="center"/>
          </w:tcPr>
          <w:p>
            <w:pPr>
              <w:jc w:val="center"/>
              <w:rPr>
                <w:sz w:val="24"/>
                <w:szCs w:val="24"/>
              </w:rPr>
            </w:pPr>
            <w:r>
              <w:rPr>
                <w:sz w:val="24"/>
                <w:szCs w:val="24"/>
              </w:rPr>
              <w:t>生活废水（</w:t>
            </w:r>
            <w:r>
              <w:rPr>
                <w:rFonts w:hint="eastAsia"/>
                <w:sz w:val="24"/>
                <w:szCs w:val="24"/>
                <w:lang w:eastAsia="zh-CN"/>
              </w:rPr>
              <w:t>360m</w:t>
            </w:r>
            <w:r>
              <w:rPr>
                <w:sz w:val="24"/>
                <w:szCs w:val="24"/>
                <w:vertAlign w:val="superscript"/>
              </w:rPr>
              <w:t>3</w:t>
            </w:r>
            <w:r>
              <w:rPr>
                <w:sz w:val="24"/>
                <w:szCs w:val="24"/>
              </w:rPr>
              <w:t>/a）</w:t>
            </w:r>
          </w:p>
        </w:tc>
        <w:tc>
          <w:tcPr>
            <w:tcW w:w="1134" w:type="dxa"/>
            <w:vAlign w:val="center"/>
          </w:tcPr>
          <w:p>
            <w:pPr>
              <w:jc w:val="center"/>
              <w:rPr>
                <w:sz w:val="24"/>
                <w:szCs w:val="24"/>
              </w:rPr>
            </w:pPr>
            <w:r>
              <w:rPr>
                <w:sz w:val="24"/>
                <w:szCs w:val="24"/>
              </w:rPr>
              <w:t>COD</w:t>
            </w:r>
          </w:p>
        </w:tc>
        <w:tc>
          <w:tcPr>
            <w:tcW w:w="1421" w:type="dxa"/>
            <w:vAlign w:val="center"/>
          </w:tcPr>
          <w:p>
            <w:pPr>
              <w:jc w:val="center"/>
              <w:rPr>
                <w:sz w:val="24"/>
                <w:szCs w:val="24"/>
              </w:rPr>
            </w:pPr>
            <w:r>
              <w:rPr>
                <w:sz w:val="24"/>
                <w:szCs w:val="24"/>
              </w:rPr>
              <w:t>300 mg/L</w:t>
            </w:r>
          </w:p>
        </w:tc>
        <w:tc>
          <w:tcPr>
            <w:tcW w:w="1414" w:type="dxa"/>
            <w:vAlign w:val="center"/>
          </w:tcPr>
          <w:p>
            <w:pPr>
              <w:jc w:val="center"/>
              <w:rPr>
                <w:sz w:val="24"/>
                <w:szCs w:val="24"/>
              </w:rPr>
            </w:pPr>
            <w:r>
              <w:rPr>
                <w:rFonts w:hint="eastAsia"/>
                <w:sz w:val="24"/>
                <w:szCs w:val="24"/>
                <w:lang w:eastAsia="zh-CN"/>
              </w:rPr>
              <w:t>0.108t</w:t>
            </w:r>
            <w:r>
              <w:rPr>
                <w:sz w:val="24"/>
                <w:szCs w:val="24"/>
              </w:rPr>
              <w:t>/a</w:t>
            </w:r>
          </w:p>
        </w:tc>
        <w:tc>
          <w:tcPr>
            <w:tcW w:w="1563" w:type="dxa"/>
            <w:vAlign w:val="center"/>
          </w:tcPr>
          <w:p>
            <w:pPr>
              <w:jc w:val="center"/>
              <w:rPr>
                <w:sz w:val="24"/>
                <w:szCs w:val="24"/>
              </w:rPr>
            </w:pPr>
            <w:r>
              <w:rPr>
                <w:sz w:val="24"/>
                <w:szCs w:val="24"/>
              </w:rPr>
              <w:t>200mg/L</w:t>
            </w:r>
          </w:p>
        </w:tc>
        <w:tc>
          <w:tcPr>
            <w:tcW w:w="1685" w:type="dxa"/>
            <w:vAlign w:val="center"/>
          </w:tcPr>
          <w:p>
            <w:pPr>
              <w:jc w:val="center"/>
              <w:rPr>
                <w:sz w:val="24"/>
                <w:szCs w:val="24"/>
              </w:rPr>
            </w:pPr>
            <w:r>
              <w:rPr>
                <w:sz w:val="24"/>
                <w:szCs w:val="24"/>
              </w:rPr>
              <w:t>0.</w:t>
            </w:r>
            <w:r>
              <w:rPr>
                <w:rFonts w:hint="eastAsia"/>
                <w:sz w:val="24"/>
                <w:szCs w:val="24"/>
                <w:lang w:val="en-US" w:eastAsia="zh-CN"/>
              </w:rPr>
              <w:t>072</w:t>
            </w:r>
            <w:r>
              <w:rPr>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1277" w:type="dxa"/>
            <w:vMerge w:val="continue"/>
            <w:vAlign w:val="center"/>
          </w:tcPr>
          <w:p>
            <w:pPr>
              <w:jc w:val="center"/>
              <w:rPr>
                <w:sz w:val="24"/>
                <w:szCs w:val="24"/>
              </w:rPr>
            </w:pPr>
          </w:p>
        </w:tc>
        <w:tc>
          <w:tcPr>
            <w:tcW w:w="1134" w:type="dxa"/>
            <w:vAlign w:val="center"/>
          </w:tcPr>
          <w:p>
            <w:pPr>
              <w:jc w:val="center"/>
              <w:rPr>
                <w:sz w:val="24"/>
                <w:szCs w:val="24"/>
              </w:rPr>
            </w:pPr>
            <w:r>
              <w:rPr>
                <w:sz w:val="24"/>
                <w:szCs w:val="24"/>
              </w:rPr>
              <w:t>BOD</w:t>
            </w:r>
            <w:r>
              <w:rPr>
                <w:rStyle w:val="130"/>
                <w:color w:val="auto"/>
                <w:sz w:val="24"/>
                <w:szCs w:val="24"/>
              </w:rPr>
              <w:t>5</w:t>
            </w:r>
          </w:p>
        </w:tc>
        <w:tc>
          <w:tcPr>
            <w:tcW w:w="1421" w:type="dxa"/>
            <w:vAlign w:val="center"/>
          </w:tcPr>
          <w:p>
            <w:pPr>
              <w:jc w:val="center"/>
              <w:rPr>
                <w:sz w:val="24"/>
                <w:szCs w:val="24"/>
              </w:rPr>
            </w:pPr>
            <w:r>
              <w:rPr>
                <w:sz w:val="24"/>
                <w:szCs w:val="24"/>
              </w:rPr>
              <w:t>200 mg/L</w:t>
            </w:r>
          </w:p>
        </w:tc>
        <w:tc>
          <w:tcPr>
            <w:tcW w:w="1414" w:type="dxa"/>
            <w:vAlign w:val="center"/>
          </w:tcPr>
          <w:p>
            <w:pPr>
              <w:jc w:val="center"/>
              <w:rPr>
                <w:sz w:val="24"/>
                <w:szCs w:val="24"/>
              </w:rPr>
            </w:pPr>
            <w:r>
              <w:rPr>
                <w:rFonts w:hint="eastAsia"/>
                <w:sz w:val="24"/>
                <w:szCs w:val="24"/>
                <w:lang w:val="en-US" w:eastAsia="zh-CN"/>
              </w:rPr>
              <w:t>0.072</w:t>
            </w:r>
            <w:r>
              <w:rPr>
                <w:sz w:val="24"/>
                <w:szCs w:val="24"/>
              </w:rPr>
              <w:t>t/a</w:t>
            </w:r>
          </w:p>
        </w:tc>
        <w:tc>
          <w:tcPr>
            <w:tcW w:w="1563" w:type="dxa"/>
            <w:vAlign w:val="center"/>
          </w:tcPr>
          <w:p>
            <w:pPr>
              <w:jc w:val="center"/>
              <w:rPr>
                <w:sz w:val="24"/>
                <w:szCs w:val="24"/>
              </w:rPr>
            </w:pPr>
            <w:r>
              <w:rPr>
                <w:sz w:val="24"/>
                <w:szCs w:val="24"/>
              </w:rPr>
              <w:t>150mg/L</w:t>
            </w:r>
          </w:p>
        </w:tc>
        <w:tc>
          <w:tcPr>
            <w:tcW w:w="1685" w:type="dxa"/>
            <w:vAlign w:val="center"/>
          </w:tcPr>
          <w:p>
            <w:pPr>
              <w:jc w:val="center"/>
              <w:rPr>
                <w:sz w:val="24"/>
                <w:szCs w:val="24"/>
              </w:rPr>
            </w:pPr>
            <w:r>
              <w:rPr>
                <w:sz w:val="24"/>
                <w:szCs w:val="24"/>
              </w:rPr>
              <w:t>0.0</w:t>
            </w:r>
            <w:r>
              <w:rPr>
                <w:rFonts w:hint="eastAsia"/>
                <w:sz w:val="24"/>
                <w:szCs w:val="24"/>
                <w:lang w:val="en-US" w:eastAsia="zh-CN"/>
              </w:rPr>
              <w:t>54</w:t>
            </w:r>
            <w:r>
              <w:rPr>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1277" w:type="dxa"/>
            <w:vMerge w:val="continue"/>
            <w:vAlign w:val="center"/>
          </w:tcPr>
          <w:p>
            <w:pPr>
              <w:jc w:val="center"/>
              <w:rPr>
                <w:sz w:val="24"/>
                <w:szCs w:val="24"/>
              </w:rPr>
            </w:pPr>
          </w:p>
        </w:tc>
        <w:tc>
          <w:tcPr>
            <w:tcW w:w="1134" w:type="dxa"/>
            <w:vAlign w:val="center"/>
          </w:tcPr>
          <w:p>
            <w:pPr>
              <w:jc w:val="center"/>
              <w:rPr>
                <w:sz w:val="24"/>
                <w:szCs w:val="24"/>
              </w:rPr>
            </w:pPr>
            <w:r>
              <w:rPr>
                <w:sz w:val="24"/>
                <w:szCs w:val="24"/>
              </w:rPr>
              <w:t>NH</w:t>
            </w:r>
            <w:r>
              <w:rPr>
                <w:rStyle w:val="130"/>
                <w:color w:val="auto"/>
                <w:sz w:val="24"/>
                <w:szCs w:val="24"/>
              </w:rPr>
              <w:t>3</w:t>
            </w:r>
            <w:r>
              <w:rPr>
                <w:rStyle w:val="116"/>
                <w:color w:val="auto"/>
                <w:sz w:val="24"/>
                <w:szCs w:val="24"/>
              </w:rPr>
              <w:t>-N</w:t>
            </w:r>
          </w:p>
        </w:tc>
        <w:tc>
          <w:tcPr>
            <w:tcW w:w="1421" w:type="dxa"/>
            <w:vAlign w:val="center"/>
          </w:tcPr>
          <w:p>
            <w:pPr>
              <w:jc w:val="center"/>
              <w:rPr>
                <w:sz w:val="24"/>
                <w:szCs w:val="24"/>
              </w:rPr>
            </w:pPr>
            <w:r>
              <w:rPr>
                <w:sz w:val="24"/>
                <w:szCs w:val="24"/>
              </w:rPr>
              <w:t>30 mg/L</w:t>
            </w:r>
          </w:p>
        </w:tc>
        <w:tc>
          <w:tcPr>
            <w:tcW w:w="1414" w:type="dxa"/>
            <w:vAlign w:val="center"/>
          </w:tcPr>
          <w:p>
            <w:pPr>
              <w:jc w:val="center"/>
              <w:rPr>
                <w:sz w:val="24"/>
                <w:szCs w:val="24"/>
              </w:rPr>
            </w:pPr>
            <w:r>
              <w:rPr>
                <w:sz w:val="24"/>
                <w:szCs w:val="24"/>
              </w:rPr>
              <w:t>0.01</w:t>
            </w:r>
            <w:r>
              <w:rPr>
                <w:rFonts w:hint="eastAsia"/>
                <w:sz w:val="24"/>
                <w:szCs w:val="24"/>
                <w:lang w:val="en-US" w:eastAsia="zh-CN"/>
              </w:rPr>
              <w:t>1</w:t>
            </w:r>
            <w:r>
              <w:rPr>
                <w:sz w:val="24"/>
                <w:szCs w:val="24"/>
              </w:rPr>
              <w:t>t/a</w:t>
            </w:r>
          </w:p>
        </w:tc>
        <w:tc>
          <w:tcPr>
            <w:tcW w:w="1563" w:type="dxa"/>
            <w:vAlign w:val="center"/>
          </w:tcPr>
          <w:p>
            <w:pPr>
              <w:jc w:val="center"/>
              <w:rPr>
                <w:sz w:val="24"/>
                <w:szCs w:val="24"/>
              </w:rPr>
            </w:pPr>
            <w:r>
              <w:rPr>
                <w:sz w:val="24"/>
                <w:szCs w:val="24"/>
              </w:rPr>
              <w:t>25mg/L</w:t>
            </w:r>
          </w:p>
        </w:tc>
        <w:tc>
          <w:tcPr>
            <w:tcW w:w="1685" w:type="dxa"/>
            <w:vAlign w:val="center"/>
          </w:tcPr>
          <w:p>
            <w:pPr>
              <w:jc w:val="center"/>
              <w:rPr>
                <w:sz w:val="24"/>
                <w:szCs w:val="24"/>
              </w:rPr>
            </w:pPr>
            <w:r>
              <w:rPr>
                <w:sz w:val="24"/>
                <w:szCs w:val="24"/>
              </w:rPr>
              <w:t>0.0</w:t>
            </w:r>
            <w:r>
              <w:rPr>
                <w:rFonts w:hint="eastAsia"/>
                <w:sz w:val="24"/>
                <w:szCs w:val="24"/>
                <w:lang w:val="en-US" w:eastAsia="zh-CN"/>
              </w:rPr>
              <w:t>09</w:t>
            </w:r>
            <w:r>
              <w:rPr>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1277" w:type="dxa"/>
            <w:vMerge w:val="continue"/>
            <w:vAlign w:val="center"/>
          </w:tcPr>
          <w:p>
            <w:pPr>
              <w:jc w:val="center"/>
              <w:rPr>
                <w:sz w:val="24"/>
                <w:szCs w:val="24"/>
              </w:rPr>
            </w:pPr>
          </w:p>
        </w:tc>
        <w:tc>
          <w:tcPr>
            <w:tcW w:w="1134" w:type="dxa"/>
            <w:vAlign w:val="center"/>
          </w:tcPr>
          <w:p>
            <w:pPr>
              <w:jc w:val="center"/>
              <w:rPr>
                <w:sz w:val="24"/>
                <w:szCs w:val="24"/>
              </w:rPr>
            </w:pPr>
            <w:r>
              <w:rPr>
                <w:sz w:val="24"/>
                <w:szCs w:val="24"/>
              </w:rPr>
              <w:t>SS</w:t>
            </w:r>
          </w:p>
        </w:tc>
        <w:tc>
          <w:tcPr>
            <w:tcW w:w="1421" w:type="dxa"/>
            <w:vAlign w:val="center"/>
          </w:tcPr>
          <w:p>
            <w:pPr>
              <w:jc w:val="center"/>
              <w:rPr>
                <w:sz w:val="24"/>
                <w:szCs w:val="24"/>
              </w:rPr>
            </w:pPr>
            <w:r>
              <w:rPr>
                <w:sz w:val="24"/>
                <w:szCs w:val="24"/>
              </w:rPr>
              <w:t>250 mg/L</w:t>
            </w:r>
          </w:p>
        </w:tc>
        <w:tc>
          <w:tcPr>
            <w:tcW w:w="1414" w:type="dxa"/>
            <w:vAlign w:val="center"/>
          </w:tcPr>
          <w:p>
            <w:pPr>
              <w:jc w:val="center"/>
              <w:rPr>
                <w:sz w:val="24"/>
                <w:szCs w:val="24"/>
              </w:rPr>
            </w:pPr>
            <w:r>
              <w:rPr>
                <w:sz w:val="24"/>
                <w:szCs w:val="24"/>
              </w:rPr>
              <w:t>0.</w:t>
            </w:r>
            <w:r>
              <w:rPr>
                <w:rFonts w:hint="eastAsia"/>
                <w:sz w:val="24"/>
                <w:szCs w:val="24"/>
                <w:lang w:val="en-US" w:eastAsia="zh-CN"/>
              </w:rPr>
              <w:t>090</w:t>
            </w:r>
            <w:r>
              <w:rPr>
                <w:sz w:val="24"/>
                <w:szCs w:val="24"/>
              </w:rPr>
              <w:t>t/a</w:t>
            </w:r>
          </w:p>
        </w:tc>
        <w:tc>
          <w:tcPr>
            <w:tcW w:w="1563" w:type="dxa"/>
            <w:vAlign w:val="center"/>
          </w:tcPr>
          <w:p>
            <w:pPr>
              <w:jc w:val="center"/>
              <w:rPr>
                <w:sz w:val="24"/>
                <w:szCs w:val="24"/>
              </w:rPr>
            </w:pPr>
            <w:r>
              <w:rPr>
                <w:sz w:val="24"/>
                <w:szCs w:val="24"/>
              </w:rPr>
              <w:t>100mg/L</w:t>
            </w:r>
          </w:p>
        </w:tc>
        <w:tc>
          <w:tcPr>
            <w:tcW w:w="1685" w:type="dxa"/>
            <w:vAlign w:val="center"/>
          </w:tcPr>
          <w:p>
            <w:pPr>
              <w:jc w:val="center"/>
              <w:rPr>
                <w:sz w:val="24"/>
                <w:szCs w:val="24"/>
              </w:rPr>
            </w:pPr>
            <w:r>
              <w:rPr>
                <w:sz w:val="24"/>
                <w:szCs w:val="24"/>
              </w:rPr>
              <w:t>0.0</w:t>
            </w:r>
            <w:r>
              <w:rPr>
                <w:rFonts w:hint="eastAsia"/>
                <w:sz w:val="24"/>
                <w:szCs w:val="24"/>
                <w:lang w:val="en-US" w:eastAsia="zh-CN"/>
              </w:rPr>
              <w:t>3</w:t>
            </w:r>
            <w:r>
              <w:rPr>
                <w:sz w:val="24"/>
                <w:szCs w:val="24"/>
              </w:rPr>
              <w:t>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1277" w:type="dxa"/>
            <w:vAlign w:val="center"/>
          </w:tcPr>
          <w:p>
            <w:pPr>
              <w:jc w:val="center"/>
              <w:rPr>
                <w:sz w:val="24"/>
                <w:szCs w:val="24"/>
              </w:rPr>
            </w:pPr>
            <w:r>
              <w:rPr>
                <w:sz w:val="24"/>
                <w:szCs w:val="24"/>
              </w:rPr>
              <w:t>循环水</w:t>
            </w:r>
          </w:p>
        </w:tc>
        <w:tc>
          <w:tcPr>
            <w:tcW w:w="1134" w:type="dxa"/>
            <w:vAlign w:val="center"/>
          </w:tcPr>
          <w:p>
            <w:pPr>
              <w:jc w:val="center"/>
              <w:rPr>
                <w:rFonts w:hint="eastAsia" w:eastAsia="宋体"/>
                <w:sz w:val="24"/>
                <w:szCs w:val="24"/>
                <w:lang w:val="en-US" w:eastAsia="zh-CN"/>
              </w:rPr>
            </w:pPr>
            <w:r>
              <w:rPr>
                <w:rFonts w:hint="eastAsia"/>
                <w:sz w:val="24"/>
                <w:szCs w:val="24"/>
                <w:lang w:val="en-US" w:eastAsia="zh-CN"/>
              </w:rPr>
              <w:t>SS</w:t>
            </w:r>
          </w:p>
        </w:tc>
        <w:tc>
          <w:tcPr>
            <w:tcW w:w="1421" w:type="dxa"/>
            <w:vAlign w:val="center"/>
          </w:tcPr>
          <w:p>
            <w:pPr>
              <w:jc w:val="center"/>
              <w:rPr>
                <w:sz w:val="24"/>
                <w:szCs w:val="24"/>
              </w:rPr>
            </w:pPr>
            <w:r>
              <w:rPr>
                <w:sz w:val="24"/>
                <w:szCs w:val="24"/>
              </w:rPr>
              <w:t>-</w:t>
            </w:r>
          </w:p>
        </w:tc>
        <w:tc>
          <w:tcPr>
            <w:tcW w:w="1414" w:type="dxa"/>
            <w:vAlign w:val="center"/>
          </w:tcPr>
          <w:p>
            <w:pPr>
              <w:jc w:val="center"/>
              <w:rPr>
                <w:sz w:val="24"/>
                <w:szCs w:val="24"/>
              </w:rPr>
            </w:pPr>
            <w:r>
              <w:rPr>
                <w:sz w:val="24"/>
                <w:szCs w:val="24"/>
              </w:rPr>
              <w:t>-</w:t>
            </w:r>
          </w:p>
        </w:tc>
        <w:tc>
          <w:tcPr>
            <w:tcW w:w="1563" w:type="dxa"/>
            <w:vAlign w:val="center"/>
          </w:tcPr>
          <w:p>
            <w:pPr>
              <w:jc w:val="center"/>
              <w:rPr>
                <w:sz w:val="24"/>
                <w:szCs w:val="24"/>
              </w:rPr>
            </w:pPr>
            <w:r>
              <w:rPr>
                <w:sz w:val="24"/>
                <w:szCs w:val="24"/>
              </w:rPr>
              <w:t>-</w:t>
            </w:r>
          </w:p>
        </w:tc>
        <w:tc>
          <w:tcPr>
            <w:tcW w:w="1685" w:type="dxa"/>
            <w:vAlign w:val="center"/>
          </w:tcPr>
          <w:p>
            <w:pPr>
              <w:jc w:val="center"/>
              <w:rPr>
                <w:sz w:val="24"/>
                <w:szCs w:val="24"/>
              </w:rPr>
            </w:pPr>
            <w:r>
              <w:rPr>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right"/>
        </w:trPr>
        <w:tc>
          <w:tcPr>
            <w:tcW w:w="426" w:type="dxa"/>
            <w:vMerge w:val="continue"/>
            <w:vAlign w:val="center"/>
          </w:tcPr>
          <w:p>
            <w:pPr>
              <w:jc w:val="center"/>
              <w:rPr>
                <w:sz w:val="24"/>
                <w:szCs w:val="24"/>
              </w:rPr>
            </w:pPr>
          </w:p>
        </w:tc>
        <w:tc>
          <w:tcPr>
            <w:tcW w:w="390" w:type="dxa"/>
            <w:vMerge w:val="restart"/>
            <w:vAlign w:val="center"/>
          </w:tcPr>
          <w:p>
            <w:pPr>
              <w:jc w:val="center"/>
              <w:rPr>
                <w:sz w:val="24"/>
                <w:szCs w:val="24"/>
              </w:rPr>
            </w:pPr>
            <w:r>
              <w:rPr>
                <w:sz w:val="24"/>
                <w:szCs w:val="24"/>
              </w:rPr>
              <w:t>废气</w:t>
            </w:r>
          </w:p>
        </w:tc>
        <w:tc>
          <w:tcPr>
            <w:tcW w:w="1277" w:type="dxa"/>
            <w:vMerge w:val="restart"/>
            <w:vAlign w:val="center"/>
          </w:tcPr>
          <w:p>
            <w:pPr>
              <w:jc w:val="center"/>
              <w:rPr>
                <w:sz w:val="24"/>
                <w:szCs w:val="24"/>
              </w:rPr>
            </w:pPr>
            <w:r>
              <w:rPr>
                <w:sz w:val="24"/>
                <w:szCs w:val="24"/>
              </w:rPr>
              <w:t>生产过程</w:t>
            </w:r>
          </w:p>
        </w:tc>
        <w:tc>
          <w:tcPr>
            <w:tcW w:w="1134" w:type="dxa"/>
            <w:vAlign w:val="center"/>
          </w:tcPr>
          <w:p>
            <w:pPr>
              <w:widowControl/>
              <w:jc w:val="center"/>
              <w:rPr>
                <w:kern w:val="0"/>
                <w:sz w:val="24"/>
                <w:szCs w:val="24"/>
              </w:rPr>
            </w:pPr>
            <w:r>
              <w:rPr>
                <w:rFonts w:hint="eastAsia"/>
                <w:kern w:val="0"/>
                <w:sz w:val="24"/>
                <w:szCs w:val="24"/>
              </w:rPr>
              <w:t>打磨粉尘</w:t>
            </w:r>
          </w:p>
        </w:tc>
        <w:tc>
          <w:tcPr>
            <w:tcW w:w="2835" w:type="dxa"/>
            <w:gridSpan w:val="2"/>
            <w:vAlign w:val="center"/>
          </w:tcPr>
          <w:p>
            <w:pPr>
              <w:widowControl/>
              <w:jc w:val="center"/>
              <w:rPr>
                <w:kern w:val="0"/>
                <w:sz w:val="24"/>
                <w:szCs w:val="24"/>
              </w:rPr>
            </w:pPr>
            <w:r>
              <w:rPr>
                <w:rFonts w:hint="eastAsia"/>
                <w:kern w:val="0"/>
                <w:sz w:val="24"/>
                <w:szCs w:val="24"/>
                <w:lang w:eastAsia="zh-CN"/>
              </w:rPr>
              <w:t>0.305t</w:t>
            </w:r>
            <w:r>
              <w:rPr>
                <w:kern w:val="0"/>
                <w:sz w:val="24"/>
                <w:szCs w:val="24"/>
              </w:rPr>
              <w:t>/a</w:t>
            </w:r>
          </w:p>
        </w:tc>
        <w:tc>
          <w:tcPr>
            <w:tcW w:w="3248" w:type="dxa"/>
            <w:gridSpan w:val="2"/>
            <w:vMerge w:val="restart"/>
            <w:vAlign w:val="center"/>
          </w:tcPr>
          <w:p>
            <w:pPr>
              <w:widowControl/>
              <w:jc w:val="center"/>
              <w:rPr>
                <w:kern w:val="0"/>
                <w:sz w:val="24"/>
                <w:szCs w:val="24"/>
              </w:rPr>
            </w:pPr>
            <w:r>
              <w:rPr>
                <w:rFonts w:hint="eastAsia"/>
                <w:kern w:val="0"/>
                <w:sz w:val="24"/>
                <w:szCs w:val="24"/>
                <w:lang w:eastAsia="zh-CN"/>
              </w:rPr>
              <w:t>0.037</w:t>
            </w:r>
            <w:r>
              <w:rPr>
                <w:kern w:val="0"/>
                <w:sz w:val="24"/>
                <w:szCs w:val="24"/>
              </w:rPr>
              <w:t>t/a</w:t>
            </w:r>
            <w:r>
              <w:rPr>
                <w:rFonts w:hint="eastAsia"/>
                <w:kern w:val="0"/>
                <w:sz w:val="24"/>
                <w:szCs w:val="24"/>
              </w:rPr>
              <w:t>，0.</w:t>
            </w:r>
            <w:r>
              <w:rPr>
                <w:kern w:val="0"/>
                <w:sz w:val="24"/>
                <w:szCs w:val="24"/>
              </w:rPr>
              <w:t>0</w:t>
            </w:r>
            <w:r>
              <w:rPr>
                <w:rFonts w:hint="eastAsia"/>
                <w:kern w:val="0"/>
                <w:sz w:val="24"/>
                <w:szCs w:val="24"/>
                <w:lang w:val="en-US" w:eastAsia="zh-CN"/>
              </w:rPr>
              <w:t>15</w:t>
            </w:r>
            <w:r>
              <w:rPr>
                <w:kern w:val="0"/>
                <w:sz w:val="24"/>
                <w:szCs w:val="24"/>
              </w:rPr>
              <w:t>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1277" w:type="dxa"/>
            <w:vMerge w:val="continue"/>
            <w:vAlign w:val="center"/>
          </w:tcPr>
          <w:p>
            <w:pPr>
              <w:jc w:val="center"/>
              <w:rPr>
                <w:sz w:val="24"/>
                <w:szCs w:val="24"/>
              </w:rPr>
            </w:pPr>
          </w:p>
        </w:tc>
        <w:tc>
          <w:tcPr>
            <w:tcW w:w="1134" w:type="dxa"/>
            <w:vAlign w:val="center"/>
          </w:tcPr>
          <w:p>
            <w:pPr>
              <w:widowControl/>
              <w:jc w:val="center"/>
              <w:rPr>
                <w:kern w:val="0"/>
                <w:sz w:val="24"/>
                <w:szCs w:val="24"/>
              </w:rPr>
            </w:pPr>
            <w:r>
              <w:rPr>
                <w:rFonts w:hint="eastAsia"/>
                <w:kern w:val="0"/>
                <w:sz w:val="24"/>
                <w:szCs w:val="24"/>
                <w:lang w:eastAsia="zh-CN"/>
              </w:rPr>
              <w:t>抛丸</w:t>
            </w:r>
            <w:r>
              <w:rPr>
                <w:kern w:val="0"/>
                <w:sz w:val="24"/>
                <w:szCs w:val="24"/>
              </w:rPr>
              <w:t>粉尘</w:t>
            </w:r>
          </w:p>
        </w:tc>
        <w:tc>
          <w:tcPr>
            <w:tcW w:w="2835" w:type="dxa"/>
            <w:gridSpan w:val="2"/>
            <w:vAlign w:val="center"/>
          </w:tcPr>
          <w:p>
            <w:pPr>
              <w:widowControl/>
              <w:jc w:val="center"/>
              <w:rPr>
                <w:kern w:val="0"/>
                <w:sz w:val="24"/>
                <w:szCs w:val="24"/>
              </w:rPr>
            </w:pPr>
            <w:r>
              <w:rPr>
                <w:rFonts w:hint="eastAsia"/>
                <w:kern w:val="0"/>
                <w:sz w:val="24"/>
                <w:szCs w:val="24"/>
                <w:lang w:val="en-US" w:eastAsia="zh-CN"/>
              </w:rPr>
              <w:t>0.2</w:t>
            </w:r>
            <w:r>
              <w:rPr>
                <w:kern w:val="0"/>
                <w:sz w:val="24"/>
                <w:szCs w:val="24"/>
              </w:rPr>
              <w:t>t/a</w:t>
            </w:r>
          </w:p>
        </w:tc>
        <w:tc>
          <w:tcPr>
            <w:tcW w:w="3248" w:type="dxa"/>
            <w:gridSpan w:val="2"/>
            <w:vMerge w:val="continue"/>
            <w:vAlign w:val="center"/>
          </w:tcPr>
          <w:p>
            <w:pPr>
              <w:widowControl/>
              <w:jc w:val="center"/>
              <w:rPr>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1277" w:type="dxa"/>
            <w:vMerge w:val="continue"/>
            <w:vAlign w:val="center"/>
          </w:tcPr>
          <w:p>
            <w:pPr>
              <w:jc w:val="center"/>
              <w:rPr>
                <w:sz w:val="24"/>
                <w:szCs w:val="24"/>
              </w:rPr>
            </w:pPr>
          </w:p>
        </w:tc>
        <w:tc>
          <w:tcPr>
            <w:tcW w:w="1134" w:type="dxa"/>
            <w:vAlign w:val="center"/>
          </w:tcPr>
          <w:p>
            <w:pPr>
              <w:widowControl/>
              <w:jc w:val="center"/>
              <w:rPr>
                <w:kern w:val="0"/>
                <w:sz w:val="24"/>
                <w:szCs w:val="24"/>
              </w:rPr>
            </w:pPr>
            <w:r>
              <w:rPr>
                <w:rFonts w:hint="eastAsia"/>
                <w:kern w:val="0"/>
                <w:sz w:val="24"/>
                <w:szCs w:val="24"/>
              </w:rPr>
              <w:t>抛光</w:t>
            </w:r>
            <w:r>
              <w:rPr>
                <w:kern w:val="0"/>
                <w:sz w:val="24"/>
                <w:szCs w:val="24"/>
              </w:rPr>
              <w:t>粉尘</w:t>
            </w:r>
          </w:p>
        </w:tc>
        <w:tc>
          <w:tcPr>
            <w:tcW w:w="2835" w:type="dxa"/>
            <w:gridSpan w:val="2"/>
            <w:vAlign w:val="center"/>
          </w:tcPr>
          <w:p>
            <w:pPr>
              <w:widowControl/>
              <w:jc w:val="center"/>
              <w:rPr>
                <w:kern w:val="0"/>
                <w:sz w:val="24"/>
                <w:szCs w:val="24"/>
              </w:rPr>
            </w:pPr>
            <w:r>
              <w:rPr>
                <w:rFonts w:hint="eastAsia"/>
                <w:kern w:val="0"/>
                <w:sz w:val="24"/>
                <w:szCs w:val="24"/>
                <w:lang w:val="en-US" w:eastAsia="zh-CN"/>
              </w:rPr>
              <w:t>0.045</w:t>
            </w:r>
            <w:r>
              <w:rPr>
                <w:kern w:val="0"/>
                <w:sz w:val="24"/>
                <w:szCs w:val="24"/>
              </w:rPr>
              <w:t>t/a</w:t>
            </w:r>
          </w:p>
        </w:tc>
        <w:tc>
          <w:tcPr>
            <w:tcW w:w="3248" w:type="dxa"/>
            <w:gridSpan w:val="2"/>
            <w:vMerge w:val="continue"/>
            <w:vAlign w:val="center"/>
          </w:tcPr>
          <w:p>
            <w:pPr>
              <w:widowControl/>
              <w:jc w:val="center"/>
              <w:rPr>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 w:hRule="atLeast"/>
          <w:jc w:val="right"/>
        </w:trPr>
        <w:tc>
          <w:tcPr>
            <w:tcW w:w="426" w:type="dxa"/>
            <w:vMerge w:val="continue"/>
            <w:vAlign w:val="center"/>
          </w:tcPr>
          <w:p>
            <w:pPr>
              <w:jc w:val="center"/>
              <w:rPr>
                <w:sz w:val="24"/>
                <w:szCs w:val="24"/>
              </w:rPr>
            </w:pPr>
          </w:p>
        </w:tc>
        <w:tc>
          <w:tcPr>
            <w:tcW w:w="390" w:type="dxa"/>
            <w:vMerge w:val="restart"/>
            <w:vAlign w:val="center"/>
          </w:tcPr>
          <w:p>
            <w:pPr>
              <w:jc w:val="center"/>
              <w:rPr>
                <w:sz w:val="24"/>
                <w:szCs w:val="24"/>
              </w:rPr>
            </w:pPr>
            <w:r>
              <w:rPr>
                <w:sz w:val="24"/>
                <w:szCs w:val="24"/>
              </w:rPr>
              <w:t>固废</w:t>
            </w:r>
          </w:p>
        </w:tc>
        <w:tc>
          <w:tcPr>
            <w:tcW w:w="2411" w:type="dxa"/>
            <w:gridSpan w:val="2"/>
            <w:vAlign w:val="center"/>
          </w:tcPr>
          <w:p>
            <w:pPr>
              <w:pStyle w:val="77"/>
              <w:rPr>
                <w:rFonts w:hint="eastAsia" w:eastAsia="宋体"/>
                <w:sz w:val="24"/>
                <w:szCs w:val="24"/>
                <w:lang w:eastAsia="zh-CN"/>
              </w:rPr>
            </w:pPr>
            <w:r>
              <w:rPr>
                <w:rFonts w:hint="eastAsia"/>
                <w:sz w:val="24"/>
                <w:szCs w:val="24"/>
                <w:lang w:eastAsia="zh-CN"/>
              </w:rPr>
              <w:t>除尘系统收集粉尘</w:t>
            </w:r>
          </w:p>
        </w:tc>
        <w:tc>
          <w:tcPr>
            <w:tcW w:w="2835" w:type="dxa"/>
            <w:gridSpan w:val="2"/>
            <w:vAlign w:val="center"/>
          </w:tcPr>
          <w:p>
            <w:pPr>
              <w:pStyle w:val="77"/>
              <w:rPr>
                <w:sz w:val="24"/>
                <w:szCs w:val="24"/>
              </w:rPr>
            </w:pPr>
            <w:r>
              <w:rPr>
                <w:rFonts w:hint="eastAsia"/>
                <w:sz w:val="24"/>
                <w:szCs w:val="24"/>
                <w:lang w:val="en-US" w:eastAsia="zh-CN"/>
              </w:rPr>
              <w:t>0.315</w:t>
            </w:r>
            <w:r>
              <w:rPr>
                <w:sz w:val="24"/>
                <w:szCs w:val="24"/>
              </w:rPr>
              <w:t>t/a</w:t>
            </w:r>
          </w:p>
        </w:tc>
        <w:tc>
          <w:tcPr>
            <w:tcW w:w="3248" w:type="dxa"/>
            <w:gridSpan w:val="2"/>
            <w:vAlign w:val="center"/>
          </w:tcPr>
          <w:p>
            <w:pPr>
              <w:pStyle w:val="77"/>
              <w:rPr>
                <w:sz w:val="24"/>
                <w:szCs w:val="24"/>
              </w:rPr>
            </w:pPr>
            <w:r>
              <w:rPr>
                <w:rFonts w:hint="eastAsia"/>
                <w:sz w:val="24"/>
                <w:szCs w:val="24"/>
              </w:rPr>
              <w:t>集中</w:t>
            </w:r>
            <w:r>
              <w:rPr>
                <w:sz w:val="24"/>
                <w:szCs w:val="24"/>
              </w:rPr>
              <w:t>收集，送废品站处理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2411" w:type="dxa"/>
            <w:gridSpan w:val="2"/>
            <w:vAlign w:val="center"/>
          </w:tcPr>
          <w:p>
            <w:pPr>
              <w:pStyle w:val="77"/>
              <w:rPr>
                <w:sz w:val="24"/>
                <w:szCs w:val="24"/>
              </w:rPr>
            </w:pPr>
            <w:r>
              <w:rPr>
                <w:rFonts w:hint="eastAsia"/>
                <w:sz w:val="24"/>
                <w:szCs w:val="24"/>
              </w:rPr>
              <w:t>金属</w:t>
            </w:r>
            <w:r>
              <w:rPr>
                <w:sz w:val="24"/>
                <w:szCs w:val="24"/>
              </w:rPr>
              <w:t>边角料</w:t>
            </w:r>
          </w:p>
        </w:tc>
        <w:tc>
          <w:tcPr>
            <w:tcW w:w="2835" w:type="dxa"/>
            <w:gridSpan w:val="2"/>
            <w:vAlign w:val="center"/>
          </w:tcPr>
          <w:p>
            <w:pPr>
              <w:pStyle w:val="77"/>
              <w:rPr>
                <w:sz w:val="24"/>
                <w:szCs w:val="24"/>
              </w:rPr>
            </w:pPr>
            <w:r>
              <w:rPr>
                <w:rFonts w:hint="eastAsia"/>
                <w:sz w:val="24"/>
                <w:szCs w:val="24"/>
                <w:lang w:val="en-US" w:eastAsia="zh-CN"/>
              </w:rPr>
              <w:t>20</w:t>
            </w:r>
            <w:r>
              <w:rPr>
                <w:sz w:val="24"/>
                <w:szCs w:val="24"/>
              </w:rPr>
              <w:t>t/a</w:t>
            </w:r>
          </w:p>
        </w:tc>
        <w:tc>
          <w:tcPr>
            <w:tcW w:w="3248" w:type="dxa"/>
            <w:gridSpan w:val="2"/>
            <w:vAlign w:val="center"/>
          </w:tcPr>
          <w:p>
            <w:pPr>
              <w:pStyle w:val="77"/>
              <w:rPr>
                <w:sz w:val="24"/>
                <w:szCs w:val="24"/>
              </w:rPr>
            </w:pPr>
            <w:r>
              <w:rPr>
                <w:rFonts w:hint="eastAsia"/>
                <w:sz w:val="24"/>
                <w:szCs w:val="24"/>
              </w:rPr>
              <w:t>集中</w:t>
            </w:r>
            <w:r>
              <w:rPr>
                <w:sz w:val="24"/>
                <w:szCs w:val="24"/>
              </w:rPr>
              <w:t>收集，送废品站处理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2411" w:type="dxa"/>
            <w:gridSpan w:val="2"/>
            <w:vAlign w:val="center"/>
          </w:tcPr>
          <w:p>
            <w:pPr>
              <w:pStyle w:val="77"/>
              <w:rPr>
                <w:sz w:val="24"/>
                <w:szCs w:val="24"/>
              </w:rPr>
            </w:pPr>
            <w:r>
              <w:rPr>
                <w:rFonts w:hint="eastAsia"/>
                <w:sz w:val="24"/>
                <w:szCs w:val="24"/>
              </w:rPr>
              <w:t>废</w:t>
            </w:r>
            <w:r>
              <w:rPr>
                <w:sz w:val="24"/>
                <w:szCs w:val="24"/>
              </w:rPr>
              <w:t>润滑油</w:t>
            </w:r>
          </w:p>
        </w:tc>
        <w:tc>
          <w:tcPr>
            <w:tcW w:w="2835" w:type="dxa"/>
            <w:gridSpan w:val="2"/>
            <w:vAlign w:val="center"/>
          </w:tcPr>
          <w:p>
            <w:pPr>
              <w:pStyle w:val="77"/>
              <w:rPr>
                <w:sz w:val="24"/>
                <w:szCs w:val="24"/>
              </w:rPr>
            </w:pPr>
            <w:r>
              <w:rPr>
                <w:rFonts w:hint="eastAsia"/>
                <w:sz w:val="24"/>
                <w:szCs w:val="24"/>
              </w:rPr>
              <w:t>0.1</w:t>
            </w:r>
            <w:r>
              <w:rPr>
                <w:sz w:val="24"/>
                <w:szCs w:val="24"/>
              </w:rPr>
              <w:t>t/a</w:t>
            </w:r>
          </w:p>
        </w:tc>
        <w:tc>
          <w:tcPr>
            <w:tcW w:w="3248" w:type="dxa"/>
            <w:gridSpan w:val="2"/>
            <w:vAlign w:val="center"/>
          </w:tcPr>
          <w:p>
            <w:pPr>
              <w:pStyle w:val="77"/>
              <w:rPr>
                <w:sz w:val="24"/>
                <w:szCs w:val="24"/>
              </w:rPr>
            </w:pPr>
            <w:r>
              <w:rPr>
                <w:rFonts w:hint="eastAsia"/>
                <w:sz w:val="24"/>
                <w:szCs w:val="24"/>
              </w:rPr>
              <w:t>集中</w:t>
            </w:r>
            <w:r>
              <w:rPr>
                <w:sz w:val="24"/>
                <w:szCs w:val="24"/>
              </w:rPr>
              <w:t>收集</w:t>
            </w:r>
            <w:r>
              <w:rPr>
                <w:rFonts w:hint="eastAsia"/>
                <w:sz w:val="24"/>
                <w:szCs w:val="24"/>
              </w:rPr>
              <w:t>，</w:t>
            </w:r>
            <w:r>
              <w:rPr>
                <w:sz w:val="24"/>
                <w:szCs w:val="24"/>
              </w:rPr>
              <w:t>委托有资质单位处理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2411" w:type="dxa"/>
            <w:gridSpan w:val="2"/>
            <w:vAlign w:val="center"/>
          </w:tcPr>
          <w:p>
            <w:pPr>
              <w:pStyle w:val="77"/>
              <w:rPr>
                <w:sz w:val="24"/>
                <w:szCs w:val="24"/>
              </w:rPr>
            </w:pPr>
            <w:r>
              <w:rPr>
                <w:sz w:val="24"/>
                <w:szCs w:val="24"/>
              </w:rPr>
              <w:t>沉淀池沉渣</w:t>
            </w:r>
          </w:p>
        </w:tc>
        <w:tc>
          <w:tcPr>
            <w:tcW w:w="2835" w:type="dxa"/>
            <w:gridSpan w:val="2"/>
            <w:vAlign w:val="center"/>
          </w:tcPr>
          <w:p>
            <w:pPr>
              <w:pStyle w:val="77"/>
              <w:rPr>
                <w:sz w:val="24"/>
                <w:szCs w:val="24"/>
              </w:rPr>
            </w:pPr>
            <w:r>
              <w:rPr>
                <w:sz w:val="24"/>
                <w:szCs w:val="24"/>
              </w:rPr>
              <w:t>0.2t/a</w:t>
            </w:r>
          </w:p>
        </w:tc>
        <w:tc>
          <w:tcPr>
            <w:tcW w:w="3248" w:type="dxa"/>
            <w:gridSpan w:val="2"/>
            <w:vAlign w:val="center"/>
          </w:tcPr>
          <w:p>
            <w:pPr>
              <w:pStyle w:val="77"/>
              <w:rPr>
                <w:rFonts w:hint="eastAsia" w:eastAsia="宋体"/>
                <w:sz w:val="24"/>
                <w:szCs w:val="24"/>
                <w:lang w:eastAsia="zh-CN"/>
              </w:rPr>
            </w:pPr>
            <w:r>
              <w:rPr>
                <w:rFonts w:hint="eastAsia"/>
                <w:sz w:val="24"/>
                <w:szCs w:val="24"/>
                <w:lang w:eastAsia="zh-CN"/>
              </w:rPr>
              <w:t>定期经压滤机压滤后，送往垃圾填埋场处理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 w:hRule="atLeast"/>
          <w:jc w:val="right"/>
        </w:trPr>
        <w:tc>
          <w:tcPr>
            <w:tcW w:w="426" w:type="dxa"/>
            <w:vMerge w:val="continue"/>
            <w:vAlign w:val="center"/>
          </w:tcPr>
          <w:p>
            <w:pPr>
              <w:jc w:val="center"/>
              <w:rPr>
                <w:sz w:val="24"/>
                <w:szCs w:val="24"/>
              </w:rPr>
            </w:pPr>
          </w:p>
        </w:tc>
        <w:tc>
          <w:tcPr>
            <w:tcW w:w="390" w:type="dxa"/>
            <w:vMerge w:val="continue"/>
            <w:vAlign w:val="center"/>
          </w:tcPr>
          <w:p>
            <w:pPr>
              <w:jc w:val="center"/>
              <w:rPr>
                <w:sz w:val="24"/>
                <w:szCs w:val="24"/>
              </w:rPr>
            </w:pPr>
          </w:p>
        </w:tc>
        <w:tc>
          <w:tcPr>
            <w:tcW w:w="2411" w:type="dxa"/>
            <w:gridSpan w:val="2"/>
            <w:vAlign w:val="center"/>
          </w:tcPr>
          <w:p>
            <w:pPr>
              <w:pStyle w:val="77"/>
              <w:rPr>
                <w:sz w:val="24"/>
                <w:szCs w:val="24"/>
              </w:rPr>
            </w:pPr>
            <w:r>
              <w:rPr>
                <w:sz w:val="24"/>
                <w:szCs w:val="24"/>
              </w:rPr>
              <w:t>生活垃圾</w:t>
            </w:r>
          </w:p>
        </w:tc>
        <w:tc>
          <w:tcPr>
            <w:tcW w:w="2835" w:type="dxa"/>
            <w:gridSpan w:val="2"/>
            <w:vAlign w:val="center"/>
          </w:tcPr>
          <w:p>
            <w:pPr>
              <w:pStyle w:val="77"/>
              <w:rPr>
                <w:sz w:val="24"/>
                <w:szCs w:val="24"/>
              </w:rPr>
            </w:pPr>
            <w:r>
              <w:rPr>
                <w:rFonts w:hint="eastAsia"/>
                <w:sz w:val="24"/>
                <w:szCs w:val="24"/>
                <w:lang w:val="en-US" w:eastAsia="zh-CN"/>
              </w:rPr>
              <w:t>4.5</w:t>
            </w:r>
            <w:r>
              <w:rPr>
                <w:sz w:val="24"/>
                <w:szCs w:val="24"/>
              </w:rPr>
              <w:t>t/a</w:t>
            </w:r>
          </w:p>
        </w:tc>
        <w:tc>
          <w:tcPr>
            <w:tcW w:w="3248" w:type="dxa"/>
            <w:gridSpan w:val="2"/>
            <w:vAlign w:val="center"/>
          </w:tcPr>
          <w:p>
            <w:pPr>
              <w:pStyle w:val="77"/>
              <w:rPr>
                <w:sz w:val="24"/>
                <w:szCs w:val="24"/>
              </w:rPr>
            </w:pPr>
            <w:r>
              <w:rPr>
                <w:sz w:val="24"/>
                <w:szCs w:val="24"/>
              </w:rPr>
              <w:t>每天定期清理，统一收集委托当地环卫部门进行清运处理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right"/>
        </w:trPr>
        <w:tc>
          <w:tcPr>
            <w:tcW w:w="426" w:type="dxa"/>
            <w:vMerge w:val="continue"/>
            <w:vAlign w:val="center"/>
          </w:tcPr>
          <w:p>
            <w:pPr>
              <w:jc w:val="center"/>
              <w:rPr>
                <w:sz w:val="24"/>
                <w:szCs w:val="24"/>
              </w:rPr>
            </w:pPr>
          </w:p>
        </w:tc>
        <w:tc>
          <w:tcPr>
            <w:tcW w:w="390" w:type="dxa"/>
            <w:vAlign w:val="center"/>
          </w:tcPr>
          <w:p>
            <w:pPr>
              <w:jc w:val="center"/>
              <w:rPr>
                <w:sz w:val="24"/>
                <w:szCs w:val="24"/>
              </w:rPr>
            </w:pPr>
            <w:r>
              <w:rPr>
                <w:sz w:val="24"/>
                <w:szCs w:val="24"/>
              </w:rPr>
              <w:t>噪声</w:t>
            </w:r>
          </w:p>
        </w:tc>
        <w:tc>
          <w:tcPr>
            <w:tcW w:w="8494" w:type="dxa"/>
            <w:gridSpan w:val="6"/>
            <w:vAlign w:val="center"/>
          </w:tcPr>
          <w:p>
            <w:pPr>
              <w:jc w:val="center"/>
              <w:rPr>
                <w:sz w:val="24"/>
                <w:szCs w:val="24"/>
              </w:rPr>
            </w:pPr>
            <w:r>
              <w:rPr>
                <w:sz w:val="24"/>
                <w:szCs w:val="24"/>
              </w:rPr>
              <w:t>本项目噪声主要来源于机加工机器设备运行时的噪声，生产线各工房机械设备噪声在</w:t>
            </w:r>
            <w:r>
              <w:rPr>
                <w:rFonts w:hint="eastAsia"/>
                <w:sz w:val="24"/>
                <w:szCs w:val="24"/>
                <w:lang w:val="en-US" w:eastAsia="zh-CN"/>
              </w:rPr>
              <w:t>6</w:t>
            </w:r>
            <w:r>
              <w:rPr>
                <w:sz w:val="24"/>
                <w:szCs w:val="24"/>
              </w:rPr>
              <w:t>0-90dB（A）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right"/>
        </w:trPr>
        <w:tc>
          <w:tcPr>
            <w:tcW w:w="9310" w:type="dxa"/>
            <w:gridSpan w:val="8"/>
            <w:vAlign w:val="center"/>
          </w:tcPr>
          <w:p>
            <w:pPr>
              <w:adjustRightInd w:val="0"/>
              <w:snapToGrid w:val="0"/>
              <w:spacing w:line="360" w:lineRule="auto"/>
              <w:jc w:val="left"/>
              <w:rPr>
                <w:b/>
                <w:bCs/>
                <w:sz w:val="24"/>
                <w:szCs w:val="24"/>
              </w:rPr>
            </w:pPr>
            <w:r>
              <w:rPr>
                <w:b/>
                <w:bCs/>
                <w:sz w:val="24"/>
                <w:szCs w:val="24"/>
              </w:rPr>
              <w:t>主要生态影响（不够时可附另页）：</w:t>
            </w:r>
          </w:p>
          <w:p>
            <w:pPr>
              <w:adjustRightInd w:val="0"/>
              <w:snapToGrid w:val="0"/>
              <w:spacing w:line="360" w:lineRule="auto"/>
              <w:ind w:firstLine="435"/>
              <w:jc w:val="left"/>
              <w:rPr>
                <w:sz w:val="24"/>
                <w:szCs w:val="24"/>
              </w:rPr>
            </w:pPr>
            <w:r>
              <w:rPr>
                <w:sz w:val="24"/>
                <w:szCs w:val="24"/>
              </w:rPr>
              <w:t>本项目位于湖南省邵阳市</w:t>
            </w:r>
            <w:r>
              <w:rPr>
                <w:rFonts w:hint="eastAsia"/>
                <w:sz w:val="24"/>
                <w:szCs w:val="24"/>
                <w:lang w:eastAsia="zh-CN"/>
              </w:rPr>
              <w:t>邵东市仙槎桥镇平阳村</w:t>
            </w:r>
            <w:r>
              <w:rPr>
                <w:sz w:val="24"/>
                <w:szCs w:val="24"/>
              </w:rPr>
              <w:t>，为已建厂房，不新开发土地，对生态环境影响</w:t>
            </w:r>
            <w:r>
              <w:rPr>
                <w:rFonts w:hint="eastAsia"/>
                <w:sz w:val="24"/>
                <w:szCs w:val="24"/>
                <w:lang w:eastAsia="zh-CN"/>
              </w:rPr>
              <w:t>很小</w:t>
            </w:r>
            <w:r>
              <w:rPr>
                <w:sz w:val="24"/>
                <w:szCs w:val="24"/>
              </w:rPr>
              <w:t>。</w:t>
            </w:r>
          </w:p>
          <w:p>
            <w:pPr>
              <w:jc w:val="left"/>
              <w:rPr>
                <w:sz w:val="24"/>
                <w:szCs w:val="24"/>
              </w:rPr>
            </w:pPr>
          </w:p>
          <w:p>
            <w:pPr>
              <w:jc w:val="left"/>
              <w:rPr>
                <w:sz w:val="24"/>
                <w:szCs w:val="24"/>
              </w:rPr>
            </w:pPr>
          </w:p>
          <w:p>
            <w:pPr>
              <w:pStyle w:val="12"/>
              <w:rPr>
                <w:sz w:val="24"/>
                <w:szCs w:val="24"/>
              </w:rPr>
            </w:pPr>
          </w:p>
          <w:p>
            <w:pPr>
              <w:pStyle w:val="12"/>
              <w:rPr>
                <w:sz w:val="24"/>
                <w:szCs w:val="24"/>
              </w:rPr>
            </w:pPr>
          </w:p>
          <w:p>
            <w:pPr>
              <w:jc w:val="left"/>
              <w:rPr>
                <w:sz w:val="24"/>
                <w:szCs w:val="24"/>
              </w:rPr>
            </w:pPr>
          </w:p>
        </w:tc>
      </w:tr>
    </w:tbl>
    <w:p>
      <w:pPr>
        <w:pageBreakBefore/>
        <w:spacing w:line="600" w:lineRule="exact"/>
        <w:outlineLvl w:val="0"/>
        <w:rPr>
          <w:b/>
          <w:sz w:val="32"/>
          <w:szCs w:val="32"/>
        </w:rPr>
      </w:pPr>
      <w:bookmarkStart w:id="53" w:name="_Toc263088963"/>
      <w:bookmarkStart w:id="54" w:name="_Toc262108318"/>
      <w:bookmarkStart w:id="55" w:name="_Toc263089110"/>
      <w:bookmarkStart w:id="56" w:name="_Toc457203525"/>
      <w:bookmarkStart w:id="57" w:name="_Toc514143751"/>
      <w:r>
        <w:rPr>
          <w:b/>
          <w:sz w:val="32"/>
          <w:szCs w:val="32"/>
        </w:rPr>
        <w:t>七、建设项目环境影响分析</w:t>
      </w:r>
      <w:bookmarkEnd w:id="53"/>
      <w:bookmarkEnd w:id="54"/>
      <w:bookmarkEnd w:id="55"/>
      <w:bookmarkEnd w:id="56"/>
      <w:bookmarkEnd w:id="57"/>
    </w:p>
    <w:tbl>
      <w:tblPr>
        <w:tblStyle w:val="38"/>
        <w:tblW w:w="93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63" w:hRule="atLeast"/>
          <w:jc w:val="center"/>
        </w:trPr>
        <w:tc>
          <w:tcPr>
            <w:tcW w:w="9310" w:type="dxa"/>
            <w:vAlign w:val="center"/>
          </w:tcPr>
          <w:p>
            <w:pPr>
              <w:tabs>
                <w:tab w:val="left" w:pos="3130"/>
              </w:tabs>
              <w:spacing w:line="360" w:lineRule="auto"/>
              <w:ind w:firstLine="482" w:firstLineChars="200"/>
              <w:rPr>
                <w:rFonts w:hint="default" w:ascii="Times New Roman" w:hAnsi="Times New Roman" w:cs="Times New Roman"/>
                <w:b/>
                <w:bCs/>
                <w:sz w:val="24"/>
              </w:rPr>
            </w:pPr>
            <w:bookmarkStart w:id="58" w:name="_Toc263088970"/>
            <w:bookmarkStart w:id="59" w:name="_Toc448861818"/>
            <w:bookmarkStart w:id="60" w:name="_Toc263089117"/>
            <w:bookmarkStart w:id="61" w:name="_Toc457203526"/>
            <w:bookmarkStart w:id="62" w:name="_Toc262108325"/>
            <w:bookmarkStart w:id="63" w:name="_Toc32687"/>
            <w:r>
              <w:rPr>
                <w:rFonts w:hint="default" w:ascii="Times New Roman" w:hAnsi="Times New Roman" w:cs="Times New Roman"/>
                <w:b/>
                <w:bCs/>
                <w:sz w:val="24"/>
              </w:rPr>
              <w:t>运营期环境影响分析</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lang w:val="en-US" w:eastAsia="zh-CN"/>
              </w:rPr>
              <w:t>1</w:t>
            </w:r>
            <w:r>
              <w:rPr>
                <w:rFonts w:hint="default" w:ascii="Times New Roman" w:hAnsi="Times New Roman" w:cs="Times New Roman"/>
                <w:b/>
                <w:sz w:val="24"/>
              </w:rPr>
              <w:t>、水环境影响分析</w:t>
            </w:r>
          </w:p>
          <w:p>
            <w:pPr>
              <w:pStyle w:val="92"/>
              <w:jc w:val="both"/>
              <w:rPr>
                <w:rFonts w:hint="default" w:ascii="Times New Roman" w:hAnsi="Times New Roman" w:cs="Times New Roman"/>
                <w:kern w:val="0"/>
              </w:rPr>
            </w:pPr>
            <w:r>
              <w:rPr>
                <w:rFonts w:hint="default" w:ascii="Times New Roman" w:hAnsi="Times New Roman" w:cs="Times New Roman"/>
                <w:kern w:val="0"/>
              </w:rPr>
              <w:t>依据《环境影响评价技术导则-地表水环境》（HJ2.3-2018）中5.2.2节评价等级确定，结合项目工程分析结果，建设项目生产废水（研磨水）经循环水池沉淀后循环使用不外排，生活污水经自建化粪池处理后</w:t>
            </w:r>
            <w:r>
              <w:rPr>
                <w:rFonts w:hint="default" w:ascii="Times New Roman" w:hAnsi="Times New Roman" w:cs="Times New Roman"/>
                <w:kern w:val="0"/>
                <w:lang w:eastAsia="zh-CN"/>
              </w:rPr>
              <w:t>用作农肥</w:t>
            </w:r>
            <w:r>
              <w:rPr>
                <w:rFonts w:hint="default" w:ascii="Times New Roman" w:hAnsi="Times New Roman" w:cs="Times New Roman"/>
                <w:kern w:val="0"/>
              </w:rPr>
              <w:t>，</w:t>
            </w:r>
            <w:r>
              <w:rPr>
                <w:rFonts w:hint="default" w:ascii="Times New Roman" w:hAnsi="Times New Roman" w:cs="Times New Roman"/>
              </w:rPr>
              <w:t>本项目，评价等级为三级B，且不涉及地表水风险，本次评价按导则要求分析水处理（即</w:t>
            </w:r>
            <w:r>
              <w:rPr>
                <w:rFonts w:hint="default" w:ascii="Times New Roman" w:hAnsi="Times New Roman" w:cs="Times New Roman"/>
                <w:lang w:eastAsia="zh-CN"/>
              </w:rPr>
              <w:t>用作农肥</w:t>
            </w:r>
            <w:r>
              <w:rPr>
                <w:rFonts w:hint="default" w:ascii="Times New Roman" w:hAnsi="Times New Roman" w:cs="Times New Roman"/>
              </w:rPr>
              <w:t>）的环境可行性：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①废水产生情况</w:t>
            </w:r>
          </w:p>
          <w:p>
            <w:pPr>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zh-CN"/>
              </w:rPr>
              <w:t>项目生活污水产生量为</w:t>
            </w:r>
            <w:r>
              <w:rPr>
                <w:rFonts w:hint="default" w:ascii="Times New Roman" w:hAnsi="Times New Roman" w:cs="Times New Roman"/>
                <w:sz w:val="24"/>
                <w:lang w:val="en-US" w:eastAsia="zh-CN"/>
              </w:rPr>
              <w:t>1.2</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default" w:ascii="Times New Roman" w:hAnsi="Times New Roman" w:cs="Times New Roman"/>
                <w:sz w:val="24"/>
                <w:lang w:eastAsia="zh-CN"/>
              </w:rPr>
              <w:t>360m</w:t>
            </w:r>
            <w:r>
              <w:rPr>
                <w:rFonts w:hint="default" w:ascii="Times New Roman" w:hAnsi="Times New Roman" w:cs="Times New Roman"/>
                <w:sz w:val="24"/>
                <w:vertAlign w:val="superscript"/>
              </w:rPr>
              <w:t>3</w:t>
            </w:r>
            <w:r>
              <w:rPr>
                <w:rFonts w:hint="default" w:ascii="Times New Roman" w:hAnsi="Times New Roman" w:cs="Times New Roman"/>
                <w:sz w:val="24"/>
              </w:rPr>
              <w:t>/a），</w:t>
            </w:r>
            <w:r>
              <w:rPr>
                <w:rFonts w:hint="default" w:ascii="Times New Roman" w:hAnsi="Times New Roman" w:cs="Times New Roman"/>
                <w:sz w:val="24"/>
                <w:lang w:val="zh-CN"/>
              </w:rPr>
              <w:t>其主要污染物为</w:t>
            </w:r>
            <w:r>
              <w:rPr>
                <w:rFonts w:hint="default" w:ascii="Times New Roman" w:hAnsi="Times New Roman" w:cs="Times New Roman"/>
                <w:sz w:val="24"/>
              </w:rPr>
              <w:t>COD300mg/L</w:t>
            </w:r>
            <w:r>
              <w:rPr>
                <w:rFonts w:hint="default" w:ascii="Times New Roman" w:hAnsi="Times New Roman" w:cs="Times New Roman"/>
                <w:sz w:val="24"/>
                <w:lang w:val="zh-CN"/>
              </w:rPr>
              <w:t>、</w:t>
            </w:r>
            <w:r>
              <w:rPr>
                <w:rFonts w:hint="default" w:ascii="Times New Roman" w:hAnsi="Times New Roman" w:cs="Times New Roman"/>
                <w:sz w:val="24"/>
              </w:rPr>
              <w:t>BOD</w:t>
            </w:r>
            <w:r>
              <w:rPr>
                <w:rFonts w:hint="default" w:ascii="Times New Roman" w:hAnsi="Times New Roman" w:cs="Times New Roman"/>
                <w:sz w:val="24"/>
                <w:vertAlign w:val="subscript"/>
              </w:rPr>
              <w:t>5</w:t>
            </w:r>
            <w:r>
              <w:rPr>
                <w:rFonts w:hint="default" w:ascii="Times New Roman" w:hAnsi="Times New Roman" w:cs="Times New Roman"/>
                <w:sz w:val="24"/>
              </w:rPr>
              <w:t>200mg/L</w:t>
            </w:r>
            <w:r>
              <w:rPr>
                <w:rFonts w:hint="default" w:ascii="Times New Roman" w:hAnsi="Times New Roman" w:cs="Times New Roman"/>
                <w:sz w:val="24"/>
                <w:lang w:val="zh-CN"/>
              </w:rPr>
              <w:t>、</w:t>
            </w:r>
            <w:r>
              <w:rPr>
                <w:rFonts w:hint="default" w:ascii="Times New Roman" w:hAnsi="Times New Roman" w:cs="Times New Roman"/>
                <w:sz w:val="24"/>
              </w:rPr>
              <w:t>NH</w:t>
            </w:r>
            <w:r>
              <w:rPr>
                <w:rFonts w:hint="default" w:ascii="Times New Roman" w:hAnsi="Times New Roman" w:cs="Times New Roman"/>
                <w:sz w:val="24"/>
                <w:vertAlign w:val="subscript"/>
              </w:rPr>
              <w:t>3</w:t>
            </w:r>
            <w:r>
              <w:rPr>
                <w:rFonts w:hint="default" w:ascii="Times New Roman" w:hAnsi="Times New Roman" w:cs="Times New Roman"/>
                <w:sz w:val="24"/>
              </w:rPr>
              <w:t>-N30mg/L</w:t>
            </w:r>
            <w:r>
              <w:rPr>
                <w:rFonts w:hint="default" w:ascii="Times New Roman" w:hAnsi="Times New Roman" w:cs="Times New Roman"/>
                <w:sz w:val="24"/>
                <w:lang w:val="zh-CN"/>
              </w:rPr>
              <w:t>、</w:t>
            </w:r>
            <w:r>
              <w:rPr>
                <w:rFonts w:hint="default" w:ascii="Times New Roman" w:hAnsi="Times New Roman" w:cs="Times New Roman"/>
                <w:sz w:val="24"/>
              </w:rPr>
              <w:t>SS250mg/L</w:t>
            </w:r>
            <w:r>
              <w:rPr>
                <w:rFonts w:hint="default" w:ascii="Times New Roman" w:hAnsi="Times New Roman" w:cs="Times New Roman"/>
                <w:sz w:val="24"/>
                <w:lang w:val="zh-CN"/>
              </w:rPr>
              <w:t>。</w:t>
            </w:r>
          </w:p>
          <w:p>
            <w:pPr>
              <w:widowControl w:val="0"/>
              <w:wordWrap/>
              <w:spacing w:line="480" w:lineRule="exact"/>
              <w:ind w:firstLine="480" w:firstLineChars="200"/>
              <w:textAlignment w:val="auto"/>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eastAsia="zh-CN"/>
              </w:rPr>
              <w:t>②评价等级的确定</w:t>
            </w:r>
          </w:p>
          <w:p>
            <w:pPr>
              <w:pStyle w:val="109"/>
              <w:widowControl w:val="0"/>
              <w:wordWrap/>
              <w:spacing w:line="48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根据《环境影响评价技术导则 地表水环境》（HJ2.3-2018）中水污染影响型建设项目评价等级的判定表。</w:t>
            </w:r>
          </w:p>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表7</w:t>
            </w:r>
            <w:r>
              <w:rPr>
                <w:rFonts w:hint="eastAsia" w:ascii="Times New Roman" w:hAnsi="Times New Roman" w:cs="Times New Roman"/>
                <w:b/>
                <w:bCs/>
                <w:sz w:val="21"/>
                <w:szCs w:val="21"/>
                <w:lang w:val="en-US" w:eastAsia="zh-CN"/>
              </w:rPr>
              <w:t>-1</w:t>
            </w:r>
            <w:r>
              <w:rPr>
                <w:rFonts w:hint="default" w:ascii="Times New Roman" w:hAnsi="Times New Roman" w:cs="Times New Roman"/>
                <w:b/>
                <w:bCs/>
                <w:sz w:val="21"/>
                <w:szCs w:val="21"/>
                <w:lang w:val="en-US" w:eastAsia="zh-CN"/>
              </w:rPr>
              <w:t xml:space="preserve">   水污染影响型建设项目评价等级判定</w:t>
            </w:r>
          </w:p>
          <w:tbl>
            <w:tblPr>
              <w:tblStyle w:val="3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882"/>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1" w:type="dxa"/>
                  <w:vMerge w:val="restart"/>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评价等级</w:t>
                  </w:r>
                </w:p>
              </w:tc>
              <w:tc>
                <w:tcPr>
                  <w:tcW w:w="6775" w:type="dxa"/>
                  <w:gridSpan w:val="2"/>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1" w:type="dxa"/>
                  <w:vMerge w:val="continue"/>
                  <w:vAlign w:val="top"/>
                </w:tcPr>
                <w:p>
                  <w:pPr>
                    <w:pStyle w:val="109"/>
                    <w:spacing w:line="240" w:lineRule="auto"/>
                    <w:jc w:val="center"/>
                    <w:rPr>
                      <w:rFonts w:hint="default" w:ascii="Times New Roman" w:hAnsi="Times New Roman" w:cs="Times New Roman"/>
                      <w:sz w:val="21"/>
                      <w:szCs w:val="21"/>
                      <w:lang w:val="en-US" w:eastAsia="zh-CN"/>
                    </w:rPr>
                  </w:pPr>
                </w:p>
              </w:tc>
              <w:tc>
                <w:tcPr>
                  <w:tcW w:w="1882"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排放方式</w:t>
                  </w:r>
                </w:p>
              </w:tc>
              <w:tc>
                <w:tcPr>
                  <w:tcW w:w="4893"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废水排放量Q/（m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/d）；水污染物当量W/（无量纲）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1"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一级</w:t>
                  </w:r>
                </w:p>
              </w:tc>
              <w:tc>
                <w:tcPr>
                  <w:tcW w:w="1882"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直接排放</w:t>
                  </w:r>
                </w:p>
              </w:tc>
              <w:tc>
                <w:tcPr>
                  <w:tcW w:w="4893"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20000或W</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1"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二级</w:t>
                  </w:r>
                </w:p>
              </w:tc>
              <w:tc>
                <w:tcPr>
                  <w:tcW w:w="1882"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直接排放</w:t>
                  </w:r>
                </w:p>
              </w:tc>
              <w:tc>
                <w:tcPr>
                  <w:tcW w:w="4893"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1"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三级A</w:t>
                  </w:r>
                </w:p>
              </w:tc>
              <w:tc>
                <w:tcPr>
                  <w:tcW w:w="1882"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直接排放</w:t>
                  </w:r>
                </w:p>
              </w:tc>
              <w:tc>
                <w:tcPr>
                  <w:tcW w:w="4893"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Q＜200且W＜6000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1"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三级B</w:t>
                  </w:r>
                </w:p>
              </w:tc>
              <w:tc>
                <w:tcPr>
                  <w:tcW w:w="1882"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间接排放</w:t>
                  </w:r>
                </w:p>
              </w:tc>
              <w:tc>
                <w:tcPr>
                  <w:tcW w:w="4893" w:type="dxa"/>
                  <w:vAlign w:val="top"/>
                </w:tcPr>
                <w:p>
                  <w:pPr>
                    <w:pStyle w:val="109"/>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3"/>
                  <w:vAlign w:val="top"/>
                </w:tcPr>
                <w:p>
                  <w:pPr>
                    <w:pStyle w:val="115"/>
                    <w:widowControl/>
                    <w:wordWrap/>
                    <w:adjustRightInd w:val="0"/>
                    <w:snapToGrid w:val="0"/>
                    <w:spacing w:line="240" w:lineRule="auto"/>
                    <w:ind w:left="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1：水污染物当量数等于该污染物的年排放量除以该污染物的污染当量值（见附录A），计算排放污染物的污染物当量数，应区分第一类水污染物和其他类水污染物，统计第一类污染物当量数总和，然后与其他类污染物按照污染物当量数从大到小排序，取最大当量数作为建设项目评价等级确定的依据。</w:t>
                  </w:r>
                </w:p>
                <w:p>
                  <w:pPr>
                    <w:pStyle w:val="115"/>
                    <w:widowControl/>
                    <w:wordWrap/>
                    <w:adjustRightInd w:val="0"/>
                    <w:snapToGrid w:val="0"/>
                    <w:spacing w:line="240" w:lineRule="auto"/>
                    <w:ind w:left="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2：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pPr>
                    <w:pStyle w:val="115"/>
                    <w:widowControl/>
                    <w:wordWrap/>
                    <w:adjustRightInd w:val="0"/>
                    <w:snapToGrid w:val="0"/>
                    <w:spacing w:line="240" w:lineRule="auto"/>
                    <w:ind w:left="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注3：厂区存在堆积物（露天堆放的原料、燃料、废渣等以及垃圾堆放场）、降尘污染的，应将初期雨污水纳入废水排放量，相应的主要污染物纳入水污染当量计算。</w:t>
                  </w:r>
                </w:p>
                <w:p>
                  <w:pPr>
                    <w:pStyle w:val="115"/>
                    <w:widowControl/>
                    <w:wordWrap/>
                    <w:adjustRightInd w:val="0"/>
                    <w:snapToGrid w:val="0"/>
                    <w:spacing w:line="240" w:lineRule="auto"/>
                    <w:ind w:left="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注4：建设项目直接排放第一类污染物的，其评价等级为一级；建设项目直接排放的污染物为受纳水体超标因子的，评价等级不低于二级。</w:t>
                  </w:r>
                </w:p>
                <w:p>
                  <w:pPr>
                    <w:pStyle w:val="115"/>
                    <w:widowControl/>
                    <w:wordWrap/>
                    <w:adjustRightInd w:val="0"/>
                    <w:snapToGrid w:val="0"/>
                    <w:spacing w:line="240" w:lineRule="auto"/>
                    <w:ind w:left="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注5：直接排放受纳水体影响范围涉及饮用水源保护区、饮用水源取水口、重点保护与珍稀水生生物的栖息地、重要水生生物自然产卵场等保护目标时，评价等级不低于二级。</w:t>
                  </w:r>
                </w:p>
                <w:p>
                  <w:pPr>
                    <w:pStyle w:val="115"/>
                    <w:widowControl/>
                    <w:wordWrap/>
                    <w:adjustRightInd w:val="0"/>
                    <w:snapToGrid w:val="0"/>
                    <w:spacing w:line="240" w:lineRule="auto"/>
                    <w:ind w:left="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注6：建设项目向河流、湖库排放温排水引起受纳水体水文变化超过水环境质量标准要求。且评价范围有水温敏感目标时，评价等级为一级。</w:t>
                  </w:r>
                </w:p>
                <w:p>
                  <w:pPr>
                    <w:pStyle w:val="115"/>
                    <w:widowControl/>
                    <w:wordWrap/>
                    <w:adjustRightInd w:val="0"/>
                    <w:snapToGrid w:val="0"/>
                    <w:spacing w:line="240" w:lineRule="auto"/>
                    <w:ind w:left="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注7：建设项目利用海水作为调节温度介质，排水量≥500万m</w:t>
                  </w:r>
                  <w:r>
                    <w:rPr>
                      <w:rFonts w:hint="default" w:ascii="Times New Roman" w:hAnsi="Times New Roman" w:cs="Times New Roman"/>
                      <w:b w:val="0"/>
                      <w:bCs w:val="0"/>
                      <w:sz w:val="21"/>
                      <w:szCs w:val="21"/>
                      <w:vertAlign w:val="superscript"/>
                      <w:lang w:val="en-US" w:eastAsia="zh-CN"/>
                    </w:rPr>
                    <w:t>3</w:t>
                  </w:r>
                  <w:r>
                    <w:rPr>
                      <w:rFonts w:hint="default" w:ascii="Times New Roman" w:hAnsi="Times New Roman" w:cs="Times New Roman"/>
                      <w:b w:val="0"/>
                      <w:bCs w:val="0"/>
                      <w:sz w:val="21"/>
                      <w:szCs w:val="21"/>
                      <w:lang w:val="en-US" w:eastAsia="zh-CN"/>
                    </w:rPr>
                    <w:t>/d，评价等级为一级；排水量＜500万m</w:t>
                  </w:r>
                  <w:r>
                    <w:rPr>
                      <w:rFonts w:hint="default" w:ascii="Times New Roman" w:hAnsi="Times New Roman" w:cs="Times New Roman"/>
                      <w:b w:val="0"/>
                      <w:bCs w:val="0"/>
                      <w:sz w:val="21"/>
                      <w:szCs w:val="21"/>
                      <w:vertAlign w:val="superscript"/>
                      <w:lang w:val="en-US" w:eastAsia="zh-CN"/>
                    </w:rPr>
                    <w:t>3</w:t>
                  </w:r>
                  <w:r>
                    <w:rPr>
                      <w:rFonts w:hint="default" w:ascii="Times New Roman" w:hAnsi="Times New Roman" w:cs="Times New Roman"/>
                      <w:b w:val="0"/>
                      <w:bCs w:val="0"/>
                      <w:sz w:val="21"/>
                      <w:szCs w:val="21"/>
                      <w:lang w:val="en-US" w:eastAsia="zh-CN"/>
                    </w:rPr>
                    <w:t>/d，评价等级为二级。</w:t>
                  </w:r>
                </w:p>
                <w:p>
                  <w:pPr>
                    <w:pStyle w:val="115"/>
                    <w:widowControl/>
                    <w:wordWrap/>
                    <w:adjustRightInd w:val="0"/>
                    <w:snapToGrid w:val="0"/>
                    <w:spacing w:line="240" w:lineRule="auto"/>
                    <w:ind w:left="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注8：仅涉及清净下水排放的，如其排水水质满足受纳水体水环境质量标准要求的，评价等级为三级A。</w:t>
                  </w:r>
                </w:p>
                <w:p>
                  <w:pPr>
                    <w:pStyle w:val="115"/>
                    <w:widowControl/>
                    <w:wordWrap/>
                    <w:adjustRightInd w:val="0"/>
                    <w:snapToGrid w:val="0"/>
                    <w:spacing w:line="240" w:lineRule="auto"/>
                    <w:ind w:left="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注9：依托现有排放口，且对外环境未新增排放污染物的直接排放建设项目，评价等级参照间接排放，定为三级B。</w:t>
                  </w:r>
                </w:p>
                <w:p>
                  <w:pPr>
                    <w:pStyle w:val="109"/>
                    <w:spacing w:line="240" w:lineRule="auto"/>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b w:val="0"/>
                      <w:bCs w:val="0"/>
                      <w:sz w:val="21"/>
                      <w:szCs w:val="21"/>
                      <w:lang w:val="en-US" w:eastAsia="zh-CN"/>
                    </w:rPr>
                    <w:t>注10：建设项目生产工艺中有废水生产，但作为回水利用，不排放到外环境的，按三级B评价。</w:t>
                  </w:r>
                </w:p>
              </w:tc>
            </w:tr>
          </w:tbl>
          <w:p>
            <w:pPr>
              <w:pStyle w:val="109"/>
              <w:widowControl w:val="0"/>
              <w:wordWrap/>
              <w:spacing w:line="48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根据表中的相关依据，本项目无生产废水不外排，生活污水经隔油化粪池处理后用作农肥，因此本项目地表水的评价等级为三级B。</w:t>
            </w:r>
          </w:p>
          <w:p>
            <w:pPr>
              <w:pStyle w:val="109"/>
              <w:widowControl w:val="0"/>
              <w:wordWrap/>
              <w:spacing w:line="480" w:lineRule="exact"/>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③</w:t>
            </w:r>
            <w:r>
              <w:rPr>
                <w:rFonts w:hint="default" w:ascii="Times New Roman" w:hAnsi="Times New Roman" w:cs="Times New Roman"/>
                <w:sz w:val="24"/>
                <w:szCs w:val="24"/>
                <w:lang w:val="en-US" w:eastAsia="zh-CN"/>
              </w:rPr>
              <w:t>废水处理设施可行性分析</w:t>
            </w:r>
          </w:p>
          <w:p>
            <w:pPr>
              <w:widowControl/>
              <w:spacing w:line="480" w:lineRule="exact"/>
              <w:ind w:firstLine="480" w:firstLineChars="200"/>
              <w:rPr>
                <w:rFonts w:hint="default" w:ascii="Times New Roman" w:hAnsi="Times New Roman" w:cs="Times New Roman"/>
                <w:kern w:val="0"/>
                <w:sz w:val="24"/>
              </w:rPr>
            </w:pPr>
            <w:r>
              <w:rPr>
                <w:rFonts w:hint="default" w:ascii="Times New Roman" w:hAnsi="Times New Roman" w:cs="Times New Roman"/>
                <w:sz w:val="24"/>
                <w:szCs w:val="24"/>
                <w:lang w:val="en-US" w:eastAsia="zh-CN"/>
              </w:rPr>
              <w:t>本项目所用到的废水处理设施为隔油池和化粪池，由前面分析可知，项目所产生的生活污水经化粪池处理后</w:t>
            </w:r>
            <w:r>
              <w:rPr>
                <w:rFonts w:hint="default" w:ascii="Times New Roman" w:hAnsi="Times New Roman" w:cs="Times New Roman"/>
                <w:color w:val="auto"/>
                <w:sz w:val="24"/>
                <w:szCs w:val="24"/>
                <w:highlight w:val="none"/>
                <w:lang w:val="en-US" w:eastAsia="zh-CN"/>
              </w:rPr>
              <w:t>用于蔬菜地的浇灌，氨氮等营养物质大部分被农作物吸收，少量存留于土壤中，根据《湖南省2012年秋冬季主要作物科学施肥指导意见》，本项目按照蔬菜地产量3500~4500公斤/亩的施肥量进行计算（即氮肥20公斤/亩</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a），本项目生活污水处理后氮的浓度为25mg/L，通过计算氮的产生量得知本项目经处理后的生活污水被消纳需要的土地量为0.45亩，经现场勘查，本项目周边有农田菜地，因此本项目的生活废水经隔油化粪池处理后用作农肥是可行的，废水处理设施隔油池和化粪池是可行的。</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综上，本项目营运期，废水通过以上处理措施对地表水环境影响较小。</w:t>
            </w:r>
          </w:p>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lang w:val="en-US" w:eastAsia="zh-CN"/>
              </w:rPr>
              <w:t>2</w:t>
            </w:r>
            <w:r>
              <w:rPr>
                <w:rFonts w:hint="default" w:ascii="Times New Roman" w:hAnsi="Times New Roman" w:cs="Times New Roman"/>
                <w:b/>
                <w:sz w:val="24"/>
              </w:rPr>
              <w:t>、大气环境影响分析</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根据工程分析可知，项目生产过程产生的废气主要为生产过程产生的打磨粉尘、</w:t>
            </w:r>
            <w:r>
              <w:rPr>
                <w:rFonts w:hint="default" w:ascii="Times New Roman" w:hAnsi="Times New Roman" w:cs="Times New Roman"/>
                <w:sz w:val="24"/>
                <w:lang w:eastAsia="zh-CN"/>
              </w:rPr>
              <w:t>抛丸</w:t>
            </w:r>
            <w:r>
              <w:rPr>
                <w:rFonts w:hint="default" w:ascii="Times New Roman" w:hAnsi="Times New Roman" w:cs="Times New Roman"/>
                <w:sz w:val="24"/>
              </w:rPr>
              <w:t>粉尘、抛光粉尘。</w:t>
            </w:r>
          </w:p>
          <w:p>
            <w:pPr>
              <w:pStyle w:val="12"/>
              <w:spacing w:line="360" w:lineRule="auto"/>
              <w:ind w:firstLine="480" w:firstLineChars="200"/>
              <w:rPr>
                <w:rFonts w:hint="default" w:ascii="Times New Roman" w:hAnsi="Times New Roman" w:cs="Times New Roman"/>
              </w:rPr>
            </w:pPr>
            <w:r>
              <w:rPr>
                <w:rFonts w:hint="default" w:ascii="Times New Roman" w:hAnsi="Times New Roman" w:cs="Times New Roman"/>
              </w:rPr>
              <w:t>根据工程分析可知，项目打磨粉尘经</w:t>
            </w:r>
            <w:r>
              <w:rPr>
                <w:rFonts w:hint="default" w:ascii="Times New Roman" w:hAnsi="Times New Roman" w:cs="Times New Roman"/>
                <w:lang w:eastAsia="zh-CN"/>
              </w:rPr>
              <w:t>湿法除尘系统处理</w:t>
            </w:r>
            <w:r>
              <w:rPr>
                <w:rFonts w:hint="default" w:ascii="Times New Roman" w:hAnsi="Times New Roman" w:cs="Times New Roman"/>
              </w:rPr>
              <w:t>后外排粉尘为0.0</w:t>
            </w:r>
            <w:r>
              <w:rPr>
                <w:rFonts w:hint="eastAsia" w:ascii="Times New Roman" w:hAnsi="Times New Roman" w:cs="Times New Roman"/>
                <w:lang w:val="en-US" w:eastAsia="zh-CN"/>
              </w:rPr>
              <w:t>31</w:t>
            </w:r>
            <w:r>
              <w:rPr>
                <w:rFonts w:hint="default" w:ascii="Times New Roman" w:hAnsi="Times New Roman" w:cs="Times New Roman"/>
              </w:rPr>
              <w:t>t/a；</w:t>
            </w:r>
            <w:r>
              <w:rPr>
                <w:rFonts w:hint="default" w:ascii="Times New Roman" w:hAnsi="Times New Roman" w:cs="Times New Roman"/>
                <w:lang w:eastAsia="zh-CN"/>
              </w:rPr>
              <w:t>抛丸</w:t>
            </w:r>
            <w:r>
              <w:rPr>
                <w:rFonts w:hint="default" w:ascii="Times New Roman" w:hAnsi="Times New Roman" w:cs="Times New Roman"/>
              </w:rPr>
              <w:t>经自配除尘器处理后外排粉尘为</w:t>
            </w:r>
            <w:r>
              <w:rPr>
                <w:rFonts w:hint="default" w:ascii="Times New Roman" w:hAnsi="Times New Roman" w:cs="Times New Roman"/>
                <w:lang w:eastAsia="zh-CN"/>
              </w:rPr>
              <w:t>0.002t</w:t>
            </w:r>
            <w:r>
              <w:rPr>
                <w:rFonts w:hint="default" w:ascii="Times New Roman" w:hAnsi="Times New Roman" w:cs="Times New Roman"/>
              </w:rPr>
              <w:t>/a；抛光粉尘外排粉尘</w:t>
            </w:r>
            <w:r>
              <w:rPr>
                <w:rFonts w:hint="default" w:ascii="Times New Roman" w:hAnsi="Times New Roman" w:cs="Times New Roman"/>
                <w:lang w:eastAsia="zh-CN"/>
              </w:rPr>
              <w:t>0.0</w:t>
            </w:r>
            <w:r>
              <w:rPr>
                <w:rFonts w:hint="eastAsia" w:ascii="Times New Roman" w:hAnsi="Times New Roman" w:cs="Times New Roman"/>
                <w:lang w:val="en-US" w:eastAsia="zh-CN"/>
              </w:rPr>
              <w:t>04</w:t>
            </w:r>
            <w:r>
              <w:rPr>
                <w:rFonts w:hint="default" w:ascii="Times New Roman" w:hAnsi="Times New Roman" w:cs="Times New Roman"/>
              </w:rPr>
              <w:t>t/a，由于粉尘量产生较少，本环评建议加强清扫，加强通风，在厂区内无组织排放。</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lang w:val="en-US" w:eastAsia="zh-CN"/>
              </w:rPr>
              <w:t>2.1</w:t>
            </w:r>
            <w:r>
              <w:rPr>
                <w:rFonts w:hint="default" w:ascii="Times New Roman" w:hAnsi="Times New Roman" w:cs="Times New Roman"/>
                <w:b/>
                <w:sz w:val="24"/>
              </w:rPr>
              <w:t>废气预测与评价</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lang w:val="en-US" w:eastAsia="zh-CN"/>
              </w:rPr>
              <w:t>2.1.1</w:t>
            </w:r>
            <w:r>
              <w:rPr>
                <w:rFonts w:hint="default" w:ascii="Times New Roman" w:hAnsi="Times New Roman" w:cs="Times New Roman"/>
                <w:b/>
                <w:sz w:val="24"/>
              </w:rPr>
              <w:t>大气环境影响评价工作等级的确定</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(1)P</w:t>
            </w:r>
            <w:r>
              <w:rPr>
                <w:rFonts w:hint="default" w:ascii="Times New Roman" w:hAnsi="Times New Roman" w:cs="Times New Roman"/>
                <w:sz w:val="24"/>
                <w:vertAlign w:val="subscript"/>
              </w:rPr>
              <w:t>max</w:t>
            </w:r>
            <w:r>
              <w:rPr>
                <w:rFonts w:hint="default" w:ascii="Times New Roman" w:hAnsi="Times New Roman" w:cs="Times New Roman"/>
                <w:sz w:val="24"/>
              </w:rPr>
              <w:t>及D</w:t>
            </w:r>
            <w:r>
              <w:rPr>
                <w:rFonts w:hint="default" w:ascii="Times New Roman" w:hAnsi="Times New Roman" w:cs="Times New Roman"/>
                <w:sz w:val="24"/>
                <w:vertAlign w:val="subscript"/>
              </w:rPr>
              <w:t>10%</w:t>
            </w:r>
            <w:r>
              <w:rPr>
                <w:rFonts w:hint="default" w:ascii="Times New Roman" w:hAnsi="Times New Roman" w:cs="Times New Roman"/>
                <w:sz w:val="24"/>
              </w:rPr>
              <w:t>的确定</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依据《环境影响评价技术导则 大气环境》(HJ2.2-2018)中最大地面浓度占标率P</w:t>
            </w:r>
            <w:r>
              <w:rPr>
                <w:rFonts w:hint="default" w:ascii="Times New Roman" w:hAnsi="Times New Roman" w:cs="Times New Roman"/>
                <w:i/>
                <w:sz w:val="24"/>
              </w:rPr>
              <w:t>i</w:t>
            </w:r>
            <w:r>
              <w:rPr>
                <w:rFonts w:hint="default" w:ascii="Times New Roman" w:hAnsi="Times New Roman" w:cs="Times New Roman"/>
                <w:sz w:val="24"/>
              </w:rPr>
              <w:t>定义如下：</w:t>
            </w:r>
          </w:p>
          <w:p>
            <w:pPr>
              <w:spacing w:line="276" w:lineRule="auto"/>
              <w:ind w:firstLine="422" w:firstLineChars="176"/>
              <w:jc w:val="center"/>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 ——第i个污染物的最大地面空气质量浓度 占标率，%；</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——采用估算模型计算出的第i个污染物的最大1h地面空气质量浓度，μg/m</w:t>
            </w:r>
            <w:r>
              <w:rPr>
                <w:rFonts w:hint="default" w:ascii="Times New Roman" w:hAnsi="Times New Roman" w:cs="Times New Roman"/>
                <w:sz w:val="24"/>
                <w:vertAlign w:val="superscript"/>
              </w:rPr>
              <w:t>3</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——第i个污染物的环境空气质量浓度标准，μg/m</w:t>
            </w:r>
            <w:r>
              <w:rPr>
                <w:rFonts w:hint="default" w:ascii="Times New Roman" w:hAnsi="Times New Roman" w:cs="Times New Roman"/>
                <w:sz w:val="24"/>
                <w:vertAlign w:val="superscript"/>
              </w:rPr>
              <w:t>3</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(2)评价等级判别表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评价等级按下表的分级判据进行划分</w:t>
            </w:r>
          </w:p>
          <w:p>
            <w:pPr>
              <w:jc w:val="center"/>
              <w:rPr>
                <w:rFonts w:hint="default" w:ascii="Times New Roman" w:hAnsi="Times New Roman" w:cs="Times New Roman"/>
                <w:b/>
                <w:szCs w:val="21"/>
              </w:rPr>
            </w:pPr>
            <w:r>
              <w:rPr>
                <w:rFonts w:hint="default" w:ascii="Times New Roman" w:hAnsi="Times New Roman" w:cs="Times New Roman"/>
                <w:b/>
                <w:szCs w:val="21"/>
              </w:rPr>
              <w:t>表7-</w:t>
            </w:r>
            <w:r>
              <w:rPr>
                <w:rFonts w:hint="eastAsia" w:ascii="Times New Roman" w:hAnsi="Times New Roman" w:cs="Times New Roman"/>
                <w:b/>
                <w:szCs w:val="21"/>
                <w:lang w:val="en-US" w:eastAsia="zh-CN"/>
              </w:rPr>
              <w:t>2</w:t>
            </w:r>
            <w:r>
              <w:rPr>
                <w:rFonts w:hint="default" w:ascii="Times New Roman" w:hAnsi="Times New Roman" w:cs="Times New Roman"/>
                <w:b/>
                <w:szCs w:val="21"/>
              </w:rPr>
              <w:t>评价等级判别表</w:t>
            </w:r>
          </w:p>
          <w:tbl>
            <w:tblPr>
              <w:tblStyle w:val="39"/>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32"/>
              <w:gridCol w:w="45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453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评价工作等级</w:t>
                  </w:r>
                </w:p>
              </w:tc>
              <w:tc>
                <w:tcPr>
                  <w:tcW w:w="453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评价工作分级判据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453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一级评价</w:t>
                  </w:r>
                </w:p>
              </w:tc>
              <w:tc>
                <w:tcPr>
                  <w:tcW w:w="453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Pmax≧10%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453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二级评价</w:t>
                  </w:r>
                </w:p>
              </w:tc>
              <w:tc>
                <w:tcPr>
                  <w:tcW w:w="453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1%≦Pmax&lt;10%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453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三级评价</w:t>
                  </w:r>
                </w:p>
              </w:tc>
              <w:tc>
                <w:tcPr>
                  <w:tcW w:w="453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Pmax&lt;1%</w:t>
                  </w:r>
                </w:p>
              </w:tc>
            </w:tr>
          </w:tbl>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(3)污染物评价标准</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污染物评价标准和来源见下表。</w:t>
            </w:r>
          </w:p>
          <w:p>
            <w:pPr>
              <w:jc w:val="center"/>
              <w:rPr>
                <w:rFonts w:hint="default" w:ascii="Times New Roman" w:hAnsi="Times New Roman" w:cs="Times New Roman"/>
                <w:sz w:val="24"/>
              </w:rPr>
            </w:pPr>
            <w:r>
              <w:rPr>
                <w:rFonts w:hint="default" w:ascii="Times New Roman" w:hAnsi="Times New Roman" w:cs="Times New Roman"/>
                <w:b/>
                <w:szCs w:val="21"/>
              </w:rPr>
              <w:t>表7-</w:t>
            </w:r>
            <w:r>
              <w:rPr>
                <w:rFonts w:hint="eastAsia" w:ascii="Times New Roman" w:hAnsi="Times New Roman" w:cs="Times New Roman"/>
                <w:b/>
                <w:szCs w:val="21"/>
                <w:lang w:val="en-US" w:eastAsia="zh-CN"/>
              </w:rPr>
              <w:t>3</w:t>
            </w:r>
            <w:r>
              <w:rPr>
                <w:rFonts w:hint="default" w:ascii="Times New Roman" w:hAnsi="Times New Roman" w:cs="Times New Roman"/>
                <w:b/>
                <w:szCs w:val="21"/>
              </w:rPr>
              <w:t xml:space="preserve">  污染物评价标准</w:t>
            </w:r>
          </w:p>
          <w:tbl>
            <w:tblPr>
              <w:tblStyle w:val="39"/>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1"/>
              <w:gridCol w:w="1060"/>
              <w:gridCol w:w="1274"/>
              <w:gridCol w:w="1844"/>
              <w:gridCol w:w="3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62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污染物名称</w:t>
                  </w:r>
                </w:p>
              </w:tc>
              <w:tc>
                <w:tcPr>
                  <w:tcW w:w="10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功能区</w:t>
                  </w:r>
                </w:p>
              </w:tc>
              <w:tc>
                <w:tcPr>
                  <w:tcW w:w="127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取值时间</w:t>
                  </w:r>
                </w:p>
              </w:tc>
              <w:tc>
                <w:tcPr>
                  <w:tcW w:w="1844" w:type="dxa"/>
                  <w:vAlign w:val="center"/>
                </w:tcPr>
                <w:p>
                  <w:pPr>
                    <w:jc w:val="center"/>
                    <w:rPr>
                      <w:rFonts w:hint="default" w:ascii="Times New Roman" w:hAnsi="Times New Roman" w:cs="Times New Roman"/>
                      <w:szCs w:val="21"/>
                    </w:rPr>
                  </w:pPr>
                  <w:bookmarkStart w:id="64" w:name="OLE_LINK4"/>
                  <w:bookmarkStart w:id="65" w:name="OLE_LINK5"/>
                  <w:r>
                    <w:rPr>
                      <w:rFonts w:hint="default" w:ascii="Times New Roman" w:hAnsi="Times New Roman" w:cs="Times New Roman"/>
                      <w:szCs w:val="21"/>
                    </w:rPr>
                    <w:t>标准值</w:t>
                  </w:r>
                  <w:bookmarkEnd w:id="64"/>
                  <w:bookmarkEnd w:id="65"/>
                  <w:bookmarkStart w:id="66" w:name="OLE_LINK14"/>
                  <w:bookmarkStart w:id="67" w:name="OLE_LINK15"/>
                  <w:r>
                    <w:rPr>
                      <w:rFonts w:hint="default" w:ascii="Times New Roman" w:hAnsi="Times New Roman" w:cs="Times New Roman"/>
                      <w:szCs w:val="21"/>
                    </w:rPr>
                    <w:t>(μg/m</w:t>
                  </w:r>
                  <w:r>
                    <w:rPr>
                      <w:rFonts w:hint="default" w:ascii="Times New Roman" w:hAnsi="Times New Roman" w:cs="Times New Roman"/>
                      <w:szCs w:val="21"/>
                      <w:vertAlign w:val="superscript"/>
                    </w:rPr>
                    <w:t>3</w:t>
                  </w:r>
                  <w:r>
                    <w:rPr>
                      <w:rFonts w:hint="default" w:ascii="Times New Roman" w:hAnsi="Times New Roman" w:cs="Times New Roman"/>
                      <w:szCs w:val="21"/>
                    </w:rPr>
                    <w:t>)</w:t>
                  </w:r>
                  <w:bookmarkEnd w:id="66"/>
                  <w:bookmarkEnd w:id="67"/>
                </w:p>
              </w:tc>
              <w:tc>
                <w:tcPr>
                  <w:tcW w:w="326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62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TSP</w:t>
                  </w:r>
                </w:p>
              </w:tc>
              <w:tc>
                <w:tcPr>
                  <w:tcW w:w="1060" w:type="dxa"/>
                  <w:vAlign w:val="center"/>
                </w:tcPr>
                <w:p>
                  <w:pPr>
                    <w:jc w:val="center"/>
                    <w:rPr>
                      <w:rFonts w:hint="default" w:ascii="Times New Roman" w:hAnsi="Times New Roman" w:cs="Times New Roman"/>
                      <w:szCs w:val="21"/>
                    </w:rPr>
                  </w:pPr>
                  <w:r>
                    <w:rPr>
                      <w:rFonts w:hint="default" w:ascii="Times New Roman" w:hAnsi="Times New Roman" w:cs="Times New Roman"/>
                    </w:rPr>
                    <w:t>二类限区</w:t>
                  </w:r>
                </w:p>
              </w:tc>
              <w:tc>
                <w:tcPr>
                  <w:tcW w:w="1274" w:type="dxa"/>
                  <w:vAlign w:val="center"/>
                </w:tcPr>
                <w:p>
                  <w:pPr>
                    <w:jc w:val="center"/>
                    <w:rPr>
                      <w:rFonts w:hint="default" w:ascii="Times New Roman" w:hAnsi="Times New Roman" w:cs="Times New Roman"/>
                      <w:szCs w:val="21"/>
                    </w:rPr>
                  </w:pPr>
                  <w:r>
                    <w:rPr>
                      <w:rFonts w:hint="default" w:ascii="Times New Roman" w:hAnsi="Times New Roman" w:cs="Times New Roman"/>
                    </w:rPr>
                    <w:t>日均</w:t>
                  </w:r>
                </w:p>
              </w:tc>
              <w:tc>
                <w:tcPr>
                  <w:tcW w:w="1844" w:type="dxa"/>
                  <w:vAlign w:val="center"/>
                </w:tcPr>
                <w:p>
                  <w:pPr>
                    <w:jc w:val="center"/>
                    <w:rPr>
                      <w:rFonts w:hint="default" w:ascii="Times New Roman" w:hAnsi="Times New Roman" w:cs="Times New Roman"/>
                      <w:szCs w:val="21"/>
                    </w:rPr>
                  </w:pPr>
                  <w:r>
                    <w:rPr>
                      <w:rFonts w:hint="default" w:ascii="Times New Roman" w:hAnsi="Times New Roman" w:cs="Times New Roman"/>
                    </w:rPr>
                    <w:t>300.0</w:t>
                  </w:r>
                </w:p>
              </w:tc>
              <w:tc>
                <w:tcPr>
                  <w:tcW w:w="3265" w:type="dxa"/>
                  <w:vAlign w:val="center"/>
                </w:tcPr>
                <w:p>
                  <w:pPr>
                    <w:jc w:val="center"/>
                    <w:rPr>
                      <w:rFonts w:hint="default" w:ascii="Times New Roman" w:hAnsi="Times New Roman" w:cs="Times New Roman"/>
                      <w:szCs w:val="21"/>
                    </w:rPr>
                  </w:pPr>
                  <w:r>
                    <w:rPr>
                      <w:rFonts w:hint="default" w:ascii="Times New Roman" w:hAnsi="Times New Roman" w:cs="Times New Roman"/>
                    </w:rPr>
                    <w:t>《环境空气质量标准》（GB 3095-2012）</w:t>
                  </w:r>
                </w:p>
              </w:tc>
            </w:tr>
          </w:tbl>
          <w:p>
            <w:pPr>
              <w:spacing w:line="360" w:lineRule="auto"/>
              <w:ind w:firstLine="480" w:firstLineChars="200"/>
              <w:jc w:val="left"/>
              <w:rPr>
                <w:rFonts w:hint="default" w:ascii="Times New Roman" w:hAnsi="Times New Roman" w:cs="Times New Roman"/>
                <w:sz w:val="24"/>
              </w:rPr>
            </w:pPr>
            <w:r>
              <w:rPr>
                <w:rFonts w:hint="eastAsia" w:ascii="Times New Roman" w:hAnsi="Times New Roman" w:cs="Times New Roman"/>
                <w:sz w:val="24"/>
                <w:lang w:val="en-US" w:eastAsia="zh-CN"/>
              </w:rPr>
              <w:t>2.1.2</w:t>
            </w:r>
            <w:r>
              <w:rPr>
                <w:rFonts w:hint="default" w:ascii="Times New Roman" w:hAnsi="Times New Roman" w:cs="Times New Roman"/>
                <w:sz w:val="24"/>
              </w:rPr>
              <w:t>污染源参数</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主要废气污染源排放参数见下表：</w:t>
            </w:r>
          </w:p>
          <w:p>
            <w:pPr>
              <w:jc w:val="center"/>
              <w:rPr>
                <w:rFonts w:hint="default" w:ascii="Times New Roman" w:hAnsi="Times New Roman" w:cs="Times New Roman"/>
                <w:b/>
                <w:szCs w:val="21"/>
              </w:rPr>
            </w:pPr>
            <w:r>
              <w:rPr>
                <w:rFonts w:hint="default" w:ascii="Times New Roman" w:hAnsi="Times New Roman" w:cs="Times New Roman"/>
                <w:b/>
                <w:szCs w:val="21"/>
              </w:rPr>
              <w:t>表7-</w:t>
            </w:r>
            <w:r>
              <w:rPr>
                <w:rFonts w:hint="eastAsia" w:ascii="Times New Roman" w:hAnsi="Times New Roman" w:cs="Times New Roman"/>
                <w:b/>
                <w:szCs w:val="21"/>
                <w:lang w:val="en-US" w:eastAsia="zh-CN"/>
              </w:rPr>
              <w:t>4</w:t>
            </w:r>
            <w:r>
              <w:rPr>
                <w:rFonts w:hint="default" w:ascii="Times New Roman" w:hAnsi="Times New Roman" w:cs="Times New Roman"/>
                <w:b/>
                <w:szCs w:val="21"/>
              </w:rPr>
              <w:t xml:space="preserve">  主要废气污染源参数一览表(矩形面源)</w:t>
            </w:r>
          </w:p>
          <w:tbl>
            <w:tblPr>
              <w:tblStyle w:val="39"/>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4"/>
              <w:gridCol w:w="1198"/>
              <w:gridCol w:w="1109"/>
              <w:gridCol w:w="689"/>
              <w:gridCol w:w="852"/>
              <w:gridCol w:w="838"/>
              <w:gridCol w:w="852"/>
              <w:gridCol w:w="995"/>
              <w:gridCol w:w="982"/>
              <w:gridCol w:w="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34" w:type="dxa"/>
                  <w:vMerge w:val="restart"/>
                  <w:vAlign w:val="center"/>
                </w:tcPr>
                <w:p>
                  <w:pPr>
                    <w:jc w:val="center"/>
                    <w:rPr>
                      <w:rFonts w:hint="default" w:ascii="Times New Roman" w:hAnsi="Times New Roman" w:cs="Times New Roman"/>
                    </w:rPr>
                  </w:pPr>
                  <w:r>
                    <w:rPr>
                      <w:rFonts w:hint="default" w:ascii="Times New Roman" w:hAnsi="Times New Roman" w:cs="Times New Roman"/>
                    </w:rPr>
                    <w:t>污染源名称</w:t>
                  </w:r>
                </w:p>
              </w:tc>
              <w:tc>
                <w:tcPr>
                  <w:tcW w:w="2307" w:type="dxa"/>
                  <w:gridSpan w:val="2"/>
                  <w:vAlign w:val="center"/>
                </w:tcPr>
                <w:p>
                  <w:pPr>
                    <w:jc w:val="center"/>
                    <w:rPr>
                      <w:rFonts w:hint="default" w:ascii="Times New Roman" w:hAnsi="Times New Roman" w:cs="Times New Roman"/>
                    </w:rPr>
                  </w:pPr>
                  <w:r>
                    <w:rPr>
                      <w:rFonts w:hint="default" w:ascii="Times New Roman" w:hAnsi="Times New Roman" w:cs="Times New Roman"/>
                    </w:rPr>
                    <w:t>坐标</w:t>
                  </w:r>
                </w:p>
              </w:tc>
              <w:tc>
                <w:tcPr>
                  <w:tcW w:w="689" w:type="dxa"/>
                  <w:vMerge w:val="restart"/>
                  <w:vAlign w:val="center"/>
                </w:tcPr>
                <w:p>
                  <w:pPr>
                    <w:jc w:val="center"/>
                    <w:rPr>
                      <w:rFonts w:hint="default" w:ascii="Times New Roman" w:hAnsi="Times New Roman" w:cs="Times New Roman"/>
                    </w:rPr>
                  </w:pPr>
                  <w:r>
                    <w:rPr>
                      <w:rFonts w:hint="default" w:ascii="Times New Roman" w:hAnsi="Times New Roman" w:cs="Times New Roman"/>
                    </w:rPr>
                    <w:t>海拔高度/m</w:t>
                  </w:r>
                </w:p>
              </w:tc>
              <w:tc>
                <w:tcPr>
                  <w:tcW w:w="2542" w:type="dxa"/>
                  <w:gridSpan w:val="3"/>
                  <w:vAlign w:val="center"/>
                </w:tcPr>
                <w:p>
                  <w:pPr>
                    <w:jc w:val="center"/>
                    <w:rPr>
                      <w:rFonts w:hint="default" w:ascii="Times New Roman" w:hAnsi="Times New Roman" w:cs="Times New Roman"/>
                    </w:rPr>
                  </w:pPr>
                  <w:r>
                    <w:rPr>
                      <w:rFonts w:hint="default" w:ascii="Times New Roman" w:hAnsi="Times New Roman" w:cs="Times New Roman"/>
                    </w:rPr>
                    <w:t>矩形面源</w:t>
                  </w:r>
                </w:p>
              </w:tc>
              <w:tc>
                <w:tcPr>
                  <w:tcW w:w="995" w:type="dxa"/>
                  <w:vMerge w:val="restart"/>
                  <w:vAlign w:val="center"/>
                </w:tcPr>
                <w:p>
                  <w:pPr>
                    <w:jc w:val="center"/>
                    <w:rPr>
                      <w:rFonts w:hint="default" w:ascii="Times New Roman" w:hAnsi="Times New Roman" w:cs="Times New Roman"/>
                    </w:rPr>
                  </w:pPr>
                  <w:r>
                    <w:rPr>
                      <w:rFonts w:hint="default" w:ascii="Times New Roman" w:hAnsi="Times New Roman" w:cs="Times New Roman"/>
                    </w:rPr>
                    <w:t>污染物</w:t>
                  </w:r>
                </w:p>
              </w:tc>
              <w:tc>
                <w:tcPr>
                  <w:tcW w:w="982" w:type="dxa"/>
                  <w:vMerge w:val="restart"/>
                  <w:vAlign w:val="center"/>
                </w:tcPr>
                <w:p>
                  <w:pPr>
                    <w:jc w:val="center"/>
                    <w:rPr>
                      <w:rFonts w:hint="default" w:ascii="Times New Roman" w:hAnsi="Times New Roman" w:cs="Times New Roman"/>
                    </w:rPr>
                  </w:pPr>
                  <w:r>
                    <w:rPr>
                      <w:rFonts w:hint="default" w:ascii="Times New Roman" w:hAnsi="Times New Roman" w:cs="Times New Roman"/>
                    </w:rPr>
                    <w:t>排放速率</w:t>
                  </w:r>
                </w:p>
              </w:tc>
              <w:tc>
                <w:tcPr>
                  <w:tcW w:w="715" w:type="dxa"/>
                  <w:vMerge w:val="restart"/>
                  <w:vAlign w:val="center"/>
                </w:tcPr>
                <w:p>
                  <w:pPr>
                    <w:jc w:val="center"/>
                    <w:rPr>
                      <w:rFonts w:hint="default" w:ascii="Times New Roman" w:hAnsi="Times New Roman" w:cs="Times New Roman"/>
                    </w:rPr>
                  </w:pPr>
                  <w:r>
                    <w:rPr>
                      <w:rFonts w:hint="default" w:ascii="Times New Roman" w:hAnsi="Times New Roman" w:cs="Times New Roman"/>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1611" w:hRule="atLeast"/>
                <w:jc w:val="center"/>
              </w:trPr>
              <w:tc>
                <w:tcPr>
                  <w:tcW w:w="834" w:type="dxa"/>
                  <w:vMerge w:val="continue"/>
                  <w:vAlign w:val="center"/>
                </w:tcPr>
                <w:p>
                  <w:pPr>
                    <w:jc w:val="center"/>
                    <w:rPr>
                      <w:rFonts w:hint="default" w:ascii="Times New Roman" w:hAnsi="Times New Roman" w:cs="Times New Roman"/>
                    </w:rPr>
                  </w:pPr>
                </w:p>
              </w:tc>
              <w:tc>
                <w:tcPr>
                  <w:tcW w:w="1198" w:type="dxa"/>
                  <w:vAlign w:val="center"/>
                </w:tcPr>
                <w:p>
                  <w:pPr>
                    <w:jc w:val="center"/>
                    <w:rPr>
                      <w:rFonts w:hint="default" w:ascii="Times New Roman" w:hAnsi="Times New Roman" w:cs="Times New Roman"/>
                    </w:rPr>
                  </w:pPr>
                  <w:r>
                    <w:rPr>
                      <w:rFonts w:hint="default" w:ascii="Times New Roman" w:hAnsi="Times New Roman" w:cs="Times New Roman"/>
                    </w:rPr>
                    <w:t>X</w:t>
                  </w:r>
                </w:p>
              </w:tc>
              <w:tc>
                <w:tcPr>
                  <w:tcW w:w="1109" w:type="dxa"/>
                  <w:vAlign w:val="center"/>
                </w:tcPr>
                <w:p>
                  <w:pPr>
                    <w:jc w:val="center"/>
                    <w:rPr>
                      <w:rFonts w:hint="default" w:ascii="Times New Roman" w:hAnsi="Times New Roman" w:cs="Times New Roman"/>
                    </w:rPr>
                  </w:pPr>
                  <w:r>
                    <w:rPr>
                      <w:rFonts w:hint="default" w:ascii="Times New Roman" w:hAnsi="Times New Roman" w:cs="Times New Roman"/>
                    </w:rPr>
                    <w:t>Y</w:t>
                  </w:r>
                </w:p>
              </w:tc>
              <w:tc>
                <w:tcPr>
                  <w:tcW w:w="689" w:type="dxa"/>
                  <w:vMerge w:val="continue"/>
                  <w:vAlign w:val="center"/>
                </w:tcPr>
                <w:p>
                  <w:pPr>
                    <w:jc w:val="center"/>
                    <w:rPr>
                      <w:rFonts w:hint="default" w:ascii="Times New Roman" w:hAnsi="Times New Roman" w:cs="Times New Roman"/>
                    </w:rPr>
                  </w:pPr>
                </w:p>
              </w:tc>
              <w:tc>
                <w:tcPr>
                  <w:tcW w:w="852" w:type="dxa"/>
                  <w:vAlign w:val="center"/>
                </w:tcPr>
                <w:p>
                  <w:pPr>
                    <w:jc w:val="center"/>
                    <w:rPr>
                      <w:rFonts w:hint="default" w:ascii="Times New Roman" w:hAnsi="Times New Roman" w:cs="Times New Roman"/>
                    </w:rPr>
                  </w:pPr>
                  <w:r>
                    <w:rPr>
                      <w:rFonts w:hint="default" w:ascii="Times New Roman" w:hAnsi="Times New Roman" w:cs="Times New Roman"/>
                    </w:rPr>
                    <w:t>长度</w:t>
                  </w:r>
                </w:p>
              </w:tc>
              <w:tc>
                <w:tcPr>
                  <w:tcW w:w="838" w:type="dxa"/>
                  <w:vAlign w:val="center"/>
                </w:tcPr>
                <w:p>
                  <w:pPr>
                    <w:jc w:val="center"/>
                    <w:rPr>
                      <w:rFonts w:hint="default" w:ascii="Times New Roman" w:hAnsi="Times New Roman" w:cs="Times New Roman"/>
                    </w:rPr>
                  </w:pPr>
                  <w:r>
                    <w:rPr>
                      <w:rFonts w:hint="default" w:ascii="Times New Roman" w:hAnsi="Times New Roman" w:cs="Times New Roman"/>
                    </w:rPr>
                    <w:t>宽度</w:t>
                  </w:r>
                </w:p>
              </w:tc>
              <w:tc>
                <w:tcPr>
                  <w:tcW w:w="852" w:type="dxa"/>
                  <w:vAlign w:val="center"/>
                </w:tcPr>
                <w:p>
                  <w:pPr>
                    <w:jc w:val="center"/>
                    <w:rPr>
                      <w:rFonts w:hint="default" w:ascii="Times New Roman" w:hAnsi="Times New Roman" w:cs="Times New Roman"/>
                    </w:rPr>
                  </w:pPr>
                  <w:r>
                    <w:rPr>
                      <w:rFonts w:hint="default" w:ascii="Times New Roman" w:hAnsi="Times New Roman" w:cs="Times New Roman"/>
                    </w:rPr>
                    <w:t>有效高度</w:t>
                  </w:r>
                </w:p>
              </w:tc>
              <w:tc>
                <w:tcPr>
                  <w:tcW w:w="995" w:type="dxa"/>
                  <w:vMerge w:val="continue"/>
                  <w:vAlign w:val="center"/>
                </w:tcPr>
                <w:p>
                  <w:pPr>
                    <w:jc w:val="center"/>
                    <w:rPr>
                      <w:rFonts w:hint="default" w:ascii="Times New Roman" w:hAnsi="Times New Roman" w:cs="Times New Roman"/>
                    </w:rPr>
                  </w:pPr>
                </w:p>
              </w:tc>
              <w:tc>
                <w:tcPr>
                  <w:tcW w:w="982" w:type="dxa"/>
                  <w:vMerge w:val="continue"/>
                  <w:vAlign w:val="center"/>
                </w:tcPr>
                <w:p>
                  <w:pPr>
                    <w:jc w:val="center"/>
                    <w:rPr>
                      <w:rFonts w:hint="default" w:ascii="Times New Roman" w:hAnsi="Times New Roman" w:cs="Times New Roman"/>
                    </w:rPr>
                  </w:pPr>
                </w:p>
              </w:tc>
              <w:tc>
                <w:tcPr>
                  <w:tcW w:w="715" w:type="dxa"/>
                  <w:vMerge w:val="continue"/>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63" w:hRule="atLeast"/>
                <w:jc w:val="center"/>
              </w:trPr>
              <w:tc>
                <w:tcPr>
                  <w:tcW w:w="834" w:type="dxa"/>
                  <w:vAlign w:val="center"/>
                </w:tcPr>
                <w:p>
                  <w:pPr>
                    <w:jc w:val="center"/>
                    <w:rPr>
                      <w:rFonts w:hint="default" w:ascii="Times New Roman" w:hAnsi="Times New Roman" w:cs="Times New Roman"/>
                    </w:rPr>
                  </w:pPr>
                  <w:r>
                    <w:rPr>
                      <w:rFonts w:hint="default" w:ascii="Times New Roman" w:hAnsi="Times New Roman" w:cs="Times New Roman"/>
                    </w:rPr>
                    <w:t>矩形面源</w:t>
                  </w:r>
                </w:p>
              </w:tc>
              <w:tc>
                <w:tcPr>
                  <w:tcW w:w="1198" w:type="dxa"/>
                  <w:vAlign w:val="center"/>
                </w:tcPr>
                <w:p>
                  <w:pPr>
                    <w:jc w:val="center"/>
                    <w:rPr>
                      <w:rFonts w:hint="eastAsia" w:ascii="Times New Roman" w:hAnsi="Times New Roman" w:eastAsia="宋体" w:cs="Times New Roman"/>
                      <w:lang w:val="en-US" w:eastAsia="zh-CN"/>
                    </w:rPr>
                  </w:pPr>
                  <w:r>
                    <w:rPr>
                      <w:rFonts w:hint="eastAsia" w:ascii="Times New Roman" w:hAnsi="Times New Roman" w:cs="Times New Roman"/>
                      <w:lang w:eastAsia="zh-CN"/>
                    </w:rPr>
                    <w:t>111.691</w:t>
                  </w:r>
                  <w:r>
                    <w:rPr>
                      <w:rFonts w:hint="eastAsia" w:ascii="Times New Roman" w:hAnsi="Times New Roman" w:cs="Times New Roman"/>
                      <w:lang w:val="en-US" w:eastAsia="zh-CN"/>
                    </w:rPr>
                    <w:t>522</w:t>
                  </w:r>
                </w:p>
              </w:tc>
              <w:tc>
                <w:tcPr>
                  <w:tcW w:w="1109" w:type="dxa"/>
                  <w:vAlign w:val="center"/>
                </w:tcPr>
                <w:p>
                  <w:pPr>
                    <w:jc w:val="center"/>
                    <w:rPr>
                      <w:rFonts w:hint="eastAsia" w:ascii="Times New Roman" w:hAnsi="Times New Roman" w:eastAsia="宋体" w:cs="Times New Roman"/>
                      <w:lang w:val="en-US" w:eastAsia="zh-CN"/>
                    </w:rPr>
                  </w:pPr>
                  <w:r>
                    <w:rPr>
                      <w:rFonts w:hint="eastAsia" w:ascii="Times New Roman" w:hAnsi="Times New Roman" w:cs="Times New Roman"/>
                      <w:lang w:eastAsia="zh-CN"/>
                    </w:rPr>
                    <w:t>27.146</w:t>
                  </w:r>
                  <w:r>
                    <w:rPr>
                      <w:rFonts w:hint="eastAsia" w:ascii="Times New Roman" w:hAnsi="Times New Roman" w:cs="Times New Roman"/>
                      <w:lang w:val="en-US" w:eastAsia="zh-CN"/>
                    </w:rPr>
                    <w:t>462</w:t>
                  </w:r>
                </w:p>
              </w:tc>
              <w:tc>
                <w:tcPr>
                  <w:tcW w:w="689" w:type="dxa"/>
                  <w:vAlign w:val="center"/>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259</w:t>
                  </w:r>
                </w:p>
              </w:tc>
              <w:tc>
                <w:tcPr>
                  <w:tcW w:w="852" w:type="dxa"/>
                  <w:vAlign w:val="center"/>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50</w:t>
                  </w:r>
                </w:p>
              </w:tc>
              <w:tc>
                <w:tcPr>
                  <w:tcW w:w="838" w:type="dxa"/>
                  <w:vAlign w:val="center"/>
                </w:tcPr>
                <w:p>
                  <w:pPr>
                    <w:jc w:val="center"/>
                    <w:rPr>
                      <w:rFonts w:hint="default" w:ascii="Times New Roman" w:hAnsi="Times New Roman" w:cs="Times New Roman"/>
                      <w:lang w:val="en-US"/>
                    </w:rPr>
                  </w:pPr>
                  <w:r>
                    <w:rPr>
                      <w:rFonts w:hint="eastAsia" w:ascii="Times New Roman" w:hAnsi="Times New Roman" w:cs="Times New Roman"/>
                      <w:lang w:val="en-US" w:eastAsia="zh-CN"/>
                    </w:rPr>
                    <w:t>30</w:t>
                  </w:r>
                </w:p>
              </w:tc>
              <w:tc>
                <w:tcPr>
                  <w:tcW w:w="852" w:type="dxa"/>
                  <w:vAlign w:val="center"/>
                </w:tcPr>
                <w:p>
                  <w:pPr>
                    <w:jc w:val="center"/>
                    <w:rPr>
                      <w:rFonts w:hint="default" w:ascii="Times New Roman" w:hAnsi="Times New Roman" w:cs="Times New Roman"/>
                    </w:rPr>
                  </w:pPr>
                  <w:r>
                    <w:rPr>
                      <w:rFonts w:hint="default" w:ascii="Times New Roman" w:hAnsi="Times New Roman" w:cs="Times New Roman"/>
                    </w:rPr>
                    <w:t>10.0</w:t>
                  </w:r>
                </w:p>
              </w:tc>
              <w:tc>
                <w:tcPr>
                  <w:tcW w:w="995" w:type="dxa"/>
                  <w:vAlign w:val="center"/>
                </w:tcPr>
                <w:p>
                  <w:pPr>
                    <w:jc w:val="center"/>
                    <w:rPr>
                      <w:rFonts w:hint="default" w:ascii="Times New Roman" w:hAnsi="Times New Roman" w:cs="Times New Roman"/>
                    </w:rPr>
                  </w:pPr>
                  <w:r>
                    <w:rPr>
                      <w:rFonts w:hint="default" w:ascii="Times New Roman" w:hAnsi="Times New Roman" w:cs="Times New Roman"/>
                    </w:rPr>
                    <w:t>颗粒物</w:t>
                  </w:r>
                </w:p>
              </w:tc>
              <w:tc>
                <w:tcPr>
                  <w:tcW w:w="982" w:type="dxa"/>
                  <w:vAlign w:val="center"/>
                </w:tcPr>
                <w:p>
                  <w:pPr>
                    <w:pStyle w:val="12"/>
                    <w:jc w:val="center"/>
                    <w:rPr>
                      <w:rFonts w:hint="eastAsia" w:ascii="Times New Roman" w:hAnsi="Times New Roman" w:eastAsia="宋体" w:cs="Times New Roman"/>
                      <w:lang w:val="en-US" w:eastAsia="zh-CN"/>
                    </w:rPr>
                  </w:pPr>
                  <w:r>
                    <w:rPr>
                      <w:rFonts w:hint="default" w:ascii="Times New Roman" w:hAnsi="Times New Roman" w:cs="Times New Roman"/>
                      <w:sz w:val="21"/>
                      <w:szCs w:val="21"/>
                    </w:rPr>
                    <w:t>0.0</w:t>
                  </w:r>
                  <w:r>
                    <w:rPr>
                      <w:rFonts w:hint="eastAsia" w:ascii="Times New Roman" w:hAnsi="Times New Roman" w:cs="Times New Roman"/>
                      <w:sz w:val="21"/>
                      <w:szCs w:val="21"/>
                      <w:lang w:val="en-US" w:eastAsia="zh-CN"/>
                    </w:rPr>
                    <w:t>15</w:t>
                  </w:r>
                </w:p>
              </w:tc>
              <w:tc>
                <w:tcPr>
                  <w:tcW w:w="715" w:type="dxa"/>
                  <w:vAlign w:val="center"/>
                </w:tcPr>
                <w:p>
                  <w:pPr>
                    <w:jc w:val="center"/>
                    <w:rPr>
                      <w:rFonts w:hint="default" w:ascii="Times New Roman" w:hAnsi="Times New Roman" w:cs="Times New Roman"/>
                    </w:rPr>
                  </w:pPr>
                  <w:r>
                    <w:rPr>
                      <w:rFonts w:hint="default" w:ascii="Times New Roman" w:hAnsi="Times New Roman" w:cs="Times New Roman"/>
                    </w:rPr>
                    <w:t>kg/h</w:t>
                  </w:r>
                </w:p>
              </w:tc>
            </w:tr>
          </w:tbl>
          <w:p>
            <w:pPr>
              <w:spacing w:line="360" w:lineRule="auto"/>
              <w:ind w:firstLine="480" w:firstLineChars="200"/>
              <w:jc w:val="left"/>
              <w:rPr>
                <w:rFonts w:hint="default" w:ascii="Times New Roman" w:hAnsi="Times New Roman" w:cs="Times New Roman"/>
                <w:sz w:val="24"/>
              </w:rPr>
            </w:pPr>
            <w:r>
              <w:rPr>
                <w:rFonts w:hint="eastAsia" w:ascii="Times New Roman" w:hAnsi="Times New Roman" w:cs="Times New Roman"/>
                <w:sz w:val="24"/>
                <w:lang w:val="en-US" w:eastAsia="zh-CN"/>
              </w:rPr>
              <w:t>2.1.</w:t>
            </w:r>
            <w:r>
              <w:rPr>
                <w:rFonts w:hint="default" w:ascii="Times New Roman" w:hAnsi="Times New Roman" w:cs="Times New Roman"/>
                <w:sz w:val="24"/>
              </w:rPr>
              <w:t>3项目参数</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估算模式所用参数见表。</w:t>
            </w:r>
          </w:p>
          <w:p>
            <w:pPr>
              <w:jc w:val="center"/>
              <w:rPr>
                <w:rFonts w:hint="default" w:ascii="Times New Roman" w:hAnsi="Times New Roman" w:cs="Times New Roman"/>
                <w:b/>
              </w:rPr>
            </w:pPr>
            <w:r>
              <w:rPr>
                <w:rFonts w:hint="default" w:ascii="Times New Roman" w:hAnsi="Times New Roman" w:cs="Times New Roman"/>
                <w:b/>
              </w:rPr>
              <w:t>表7-</w:t>
            </w:r>
            <w:r>
              <w:rPr>
                <w:rFonts w:hint="eastAsia" w:ascii="Times New Roman" w:hAnsi="Times New Roman" w:cs="Times New Roman"/>
                <w:b/>
                <w:lang w:val="en-US" w:eastAsia="zh-CN"/>
              </w:rPr>
              <w:t>5</w:t>
            </w:r>
            <w:r>
              <w:rPr>
                <w:rFonts w:hint="default" w:ascii="Times New Roman" w:hAnsi="Times New Roman" w:cs="Times New Roman"/>
                <w:b/>
              </w:rPr>
              <w:t xml:space="preserve"> 估算模型参数表</w:t>
            </w:r>
          </w:p>
          <w:tbl>
            <w:tblPr>
              <w:tblStyle w:val="39"/>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7"/>
              <w:gridCol w:w="2821"/>
              <w:gridCol w:w="37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268" w:type="dxa"/>
                  <w:gridSpan w:val="2"/>
                  <w:vAlign w:val="center"/>
                </w:tcPr>
                <w:p>
                  <w:pPr>
                    <w:jc w:val="center"/>
                    <w:rPr>
                      <w:rFonts w:hint="default" w:ascii="Times New Roman" w:hAnsi="Times New Roman" w:cs="Times New Roman"/>
                    </w:rPr>
                  </w:pPr>
                  <w:r>
                    <w:rPr>
                      <w:rFonts w:hint="default" w:ascii="Times New Roman" w:hAnsi="Times New Roman" w:cs="Times New Roman"/>
                    </w:rPr>
                    <w:t>参数</w:t>
                  </w:r>
                </w:p>
              </w:tc>
              <w:tc>
                <w:tcPr>
                  <w:tcW w:w="3796" w:type="dxa"/>
                  <w:vAlign w:val="center"/>
                </w:tcPr>
                <w:p>
                  <w:pPr>
                    <w:jc w:val="center"/>
                    <w:rPr>
                      <w:rFonts w:hint="default" w:ascii="Times New Roman" w:hAnsi="Times New Roman" w:cs="Times New Roman"/>
                    </w:rPr>
                  </w:pPr>
                  <w:r>
                    <w:rPr>
                      <w:rFonts w:hint="default" w:ascii="Times New Roman" w:hAnsi="Times New Roman" w:cs="Times New Roman"/>
                    </w:rPr>
                    <w:t>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2447" w:type="dxa"/>
                  <w:vMerge w:val="restart"/>
                  <w:vAlign w:val="center"/>
                </w:tcPr>
                <w:p>
                  <w:pPr>
                    <w:jc w:val="center"/>
                    <w:rPr>
                      <w:rFonts w:hint="default" w:ascii="Times New Roman" w:hAnsi="Times New Roman" w:cs="Times New Roman"/>
                    </w:rPr>
                  </w:pPr>
                  <w:r>
                    <w:rPr>
                      <w:rFonts w:hint="default" w:ascii="Times New Roman" w:hAnsi="Times New Roman" w:cs="Times New Roman"/>
                    </w:rPr>
                    <w:t>城市农村/选项</w:t>
                  </w:r>
                </w:p>
              </w:tc>
              <w:tc>
                <w:tcPr>
                  <w:tcW w:w="2821" w:type="dxa"/>
                  <w:vAlign w:val="center"/>
                </w:tcPr>
                <w:p>
                  <w:pPr>
                    <w:jc w:val="center"/>
                    <w:rPr>
                      <w:rFonts w:hint="default" w:ascii="Times New Roman" w:hAnsi="Times New Roman" w:cs="Times New Roman"/>
                    </w:rPr>
                  </w:pPr>
                  <w:r>
                    <w:rPr>
                      <w:rFonts w:hint="default" w:ascii="Times New Roman" w:hAnsi="Times New Roman" w:cs="Times New Roman"/>
                    </w:rPr>
                    <w:t>城市/农村</w:t>
                  </w:r>
                </w:p>
              </w:tc>
              <w:tc>
                <w:tcPr>
                  <w:tcW w:w="3796" w:type="dxa"/>
                  <w:vAlign w:val="center"/>
                </w:tcPr>
                <w:p>
                  <w:pPr>
                    <w:jc w:val="center"/>
                    <w:rPr>
                      <w:rFonts w:hint="eastAsia" w:ascii="Times New Roman" w:hAnsi="Times New Roman" w:eastAsia="宋体" w:cs="Times New Roman"/>
                      <w:lang w:eastAsia="zh-CN"/>
                    </w:rPr>
                  </w:pPr>
                  <w:r>
                    <w:rPr>
                      <w:rFonts w:hint="eastAsia" w:ascii="Times New Roman" w:hAnsi="Times New Roman" w:cs="Times New Roman"/>
                      <w:lang w:eastAsia="zh-CN"/>
                    </w:rP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2447" w:type="dxa"/>
                  <w:vMerge w:val="continue"/>
                  <w:vAlign w:val="center"/>
                </w:tcPr>
                <w:p>
                  <w:pPr>
                    <w:jc w:val="center"/>
                    <w:rPr>
                      <w:rFonts w:hint="default" w:ascii="Times New Roman" w:hAnsi="Times New Roman" w:cs="Times New Roman"/>
                    </w:rPr>
                  </w:pPr>
                </w:p>
              </w:tc>
              <w:tc>
                <w:tcPr>
                  <w:tcW w:w="2821" w:type="dxa"/>
                  <w:vAlign w:val="center"/>
                </w:tcPr>
                <w:p>
                  <w:pPr>
                    <w:jc w:val="center"/>
                    <w:rPr>
                      <w:rFonts w:hint="default" w:ascii="Times New Roman" w:hAnsi="Times New Roman" w:cs="Times New Roman"/>
                    </w:rPr>
                  </w:pPr>
                  <w:r>
                    <w:rPr>
                      <w:rFonts w:hint="default" w:ascii="Times New Roman" w:hAnsi="Times New Roman" w:cs="Times New Roman"/>
                    </w:rPr>
                    <w:t>人口数(城市人口数)</w:t>
                  </w:r>
                </w:p>
              </w:tc>
              <w:tc>
                <w:tcPr>
                  <w:tcW w:w="3796" w:type="dxa"/>
                  <w:vAlign w:val="center"/>
                </w:tcPr>
                <w:p>
                  <w:pPr>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268" w:type="dxa"/>
                  <w:gridSpan w:val="2"/>
                  <w:vAlign w:val="center"/>
                </w:tcPr>
                <w:p>
                  <w:pPr>
                    <w:jc w:val="center"/>
                    <w:rPr>
                      <w:rFonts w:hint="default" w:ascii="Times New Roman" w:hAnsi="Times New Roman" w:cs="Times New Roman"/>
                    </w:rPr>
                  </w:pPr>
                  <w:r>
                    <w:rPr>
                      <w:rFonts w:hint="default" w:ascii="Times New Roman" w:hAnsi="Times New Roman" w:cs="Times New Roman"/>
                    </w:rPr>
                    <w:t>最高环境温度</w:t>
                  </w:r>
                </w:p>
              </w:tc>
              <w:tc>
                <w:tcPr>
                  <w:tcW w:w="3796" w:type="dxa"/>
                  <w:vAlign w:val="center"/>
                </w:tcPr>
                <w:p>
                  <w:pPr>
                    <w:jc w:val="center"/>
                    <w:rPr>
                      <w:rFonts w:hint="default" w:ascii="Times New Roman" w:hAnsi="Times New Roman" w:cs="Times New Roman"/>
                    </w:rPr>
                  </w:pPr>
                  <w:r>
                    <w:rPr>
                      <w:rFonts w:hint="default" w:ascii="Times New Roman" w:hAnsi="Times New Roman" w:cs="Times New Roman"/>
                    </w:rPr>
                    <w:t>40.</w:t>
                  </w:r>
                  <w:r>
                    <w:rPr>
                      <w:rFonts w:hint="eastAsia" w:ascii="Times New Roman" w:hAnsi="Times New Roman" w:cs="Times New Roman"/>
                      <w:lang w:val="en-US" w:eastAsia="zh-CN"/>
                    </w:rPr>
                    <w:t>2</w:t>
                  </w:r>
                  <w:r>
                    <w:rPr>
                      <w:rFonts w:hint="default" w:ascii="Times New Roman" w:hAnsi="Times New Roman" w:cs="Times New Roman"/>
                    </w:rPr>
                    <w:t xml:space="preserve"> °C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268" w:type="dxa"/>
                  <w:gridSpan w:val="2"/>
                  <w:vAlign w:val="center"/>
                </w:tcPr>
                <w:p>
                  <w:pPr>
                    <w:jc w:val="center"/>
                    <w:rPr>
                      <w:rFonts w:hint="default" w:ascii="Times New Roman" w:hAnsi="Times New Roman" w:cs="Times New Roman"/>
                    </w:rPr>
                  </w:pPr>
                  <w:r>
                    <w:rPr>
                      <w:rFonts w:hint="default" w:ascii="Times New Roman" w:hAnsi="Times New Roman" w:cs="Times New Roman"/>
                    </w:rPr>
                    <w:t>最低环境温度</w:t>
                  </w:r>
                </w:p>
              </w:tc>
              <w:tc>
                <w:tcPr>
                  <w:tcW w:w="3796" w:type="dxa"/>
                  <w:vAlign w:val="center"/>
                </w:tcPr>
                <w:p>
                  <w:pPr>
                    <w:jc w:val="center"/>
                    <w:rPr>
                      <w:rFonts w:hint="default" w:ascii="Times New Roman" w:hAnsi="Times New Roman" w:cs="Times New Roman"/>
                    </w:rPr>
                  </w:pPr>
                  <w:r>
                    <w:rPr>
                      <w:rFonts w:hint="eastAsia" w:ascii="Times New Roman" w:hAnsi="Times New Roman" w:cs="Times New Roman"/>
                      <w:lang w:val="en-US" w:eastAsia="zh-CN"/>
                    </w:rPr>
                    <w:t>-10.5</w:t>
                  </w:r>
                  <w:r>
                    <w:rPr>
                      <w:rFonts w:hint="default" w:ascii="Times New Roman" w:hAnsi="Times New Roman" w:cs="Times New Roman"/>
                    </w:rPr>
                    <w:t xml:space="preserve"> °C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268" w:type="dxa"/>
                  <w:gridSpan w:val="2"/>
                  <w:vAlign w:val="center"/>
                </w:tcPr>
                <w:p>
                  <w:pPr>
                    <w:jc w:val="center"/>
                    <w:rPr>
                      <w:rFonts w:hint="default" w:ascii="Times New Roman" w:hAnsi="Times New Roman" w:cs="Times New Roman"/>
                    </w:rPr>
                  </w:pPr>
                  <w:r>
                    <w:rPr>
                      <w:rFonts w:hint="default" w:ascii="Times New Roman" w:hAnsi="Times New Roman" w:cs="Times New Roman"/>
                    </w:rPr>
                    <w:t>土地利用类型</w:t>
                  </w:r>
                </w:p>
              </w:tc>
              <w:tc>
                <w:tcPr>
                  <w:tcW w:w="3796" w:type="dxa"/>
                  <w:vAlign w:val="center"/>
                </w:tcPr>
                <w:p>
                  <w:pPr>
                    <w:jc w:val="center"/>
                    <w:rPr>
                      <w:rFonts w:hint="eastAsia" w:ascii="Times New Roman" w:hAnsi="Times New Roman" w:eastAsia="宋体" w:cs="Times New Roman"/>
                      <w:lang w:eastAsia="zh-CN"/>
                    </w:rPr>
                  </w:pPr>
                  <w:r>
                    <w:rPr>
                      <w:rFonts w:hint="eastAsia" w:ascii="Times New Roman" w:hAnsi="Times New Roman" w:cs="Times New Roman"/>
                      <w:lang w:eastAsia="zh-CN"/>
                    </w:rP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268" w:type="dxa"/>
                  <w:gridSpan w:val="2"/>
                  <w:vAlign w:val="center"/>
                </w:tcPr>
                <w:p>
                  <w:pPr>
                    <w:jc w:val="center"/>
                    <w:rPr>
                      <w:rFonts w:hint="default" w:ascii="Times New Roman" w:hAnsi="Times New Roman" w:cs="Times New Roman"/>
                    </w:rPr>
                  </w:pPr>
                  <w:r>
                    <w:rPr>
                      <w:rFonts w:hint="default" w:ascii="Times New Roman" w:hAnsi="Times New Roman" w:cs="Times New Roman"/>
                    </w:rPr>
                    <w:t>区域湿度条件</w:t>
                  </w:r>
                </w:p>
              </w:tc>
              <w:tc>
                <w:tcPr>
                  <w:tcW w:w="3796" w:type="dxa"/>
                  <w:vAlign w:val="center"/>
                </w:tcPr>
                <w:p>
                  <w:pPr>
                    <w:jc w:val="center"/>
                    <w:rPr>
                      <w:rFonts w:hint="default" w:ascii="Times New Roman" w:hAnsi="Times New Roman" w:cs="Times New Roman"/>
                    </w:rPr>
                  </w:pPr>
                  <w:r>
                    <w:rPr>
                      <w:rFonts w:hint="default" w:ascii="Times New Roman" w:hAnsi="Times New Roman" w:cs="Times New Roman"/>
                    </w:rPr>
                    <w:t>中等湿度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2447" w:type="dxa"/>
                  <w:vMerge w:val="restart"/>
                  <w:vAlign w:val="center"/>
                </w:tcPr>
                <w:p>
                  <w:pPr>
                    <w:jc w:val="center"/>
                    <w:rPr>
                      <w:rFonts w:hint="default" w:ascii="Times New Roman" w:hAnsi="Times New Roman" w:cs="Times New Roman"/>
                    </w:rPr>
                  </w:pPr>
                  <w:r>
                    <w:rPr>
                      <w:rFonts w:hint="default" w:ascii="Times New Roman" w:hAnsi="Times New Roman" w:cs="Times New Roman"/>
                    </w:rPr>
                    <w:t>是否考虑地形</w:t>
                  </w:r>
                </w:p>
              </w:tc>
              <w:tc>
                <w:tcPr>
                  <w:tcW w:w="2821" w:type="dxa"/>
                  <w:vAlign w:val="center"/>
                </w:tcPr>
                <w:p>
                  <w:pPr>
                    <w:jc w:val="center"/>
                    <w:rPr>
                      <w:rFonts w:hint="default" w:ascii="Times New Roman" w:hAnsi="Times New Roman" w:cs="Times New Roman"/>
                    </w:rPr>
                  </w:pPr>
                  <w:r>
                    <w:rPr>
                      <w:rFonts w:hint="default" w:ascii="Times New Roman" w:hAnsi="Times New Roman" w:cs="Times New Roman"/>
                    </w:rPr>
                    <w:t>考虑地形</w:t>
                  </w:r>
                </w:p>
              </w:tc>
              <w:tc>
                <w:tcPr>
                  <w:tcW w:w="3796" w:type="dxa"/>
                  <w:vAlign w:val="center"/>
                </w:tcPr>
                <w:p>
                  <w:pPr>
                    <w:jc w:val="center"/>
                    <w:rPr>
                      <w:rFonts w:hint="default" w:ascii="Times New Roman" w:hAnsi="Times New Roman" w:cs="Times New Roman"/>
                    </w:rPr>
                  </w:pPr>
                  <w:r>
                    <w:rPr>
                      <w:rFonts w:hint="default" w:ascii="Times New Roman" w:hAnsi="Times New Roman" w:cs="Times New Roma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2447" w:type="dxa"/>
                  <w:vMerge w:val="continue"/>
                  <w:vAlign w:val="center"/>
                </w:tcPr>
                <w:p>
                  <w:pPr>
                    <w:jc w:val="center"/>
                    <w:rPr>
                      <w:rFonts w:hint="default" w:ascii="Times New Roman" w:hAnsi="Times New Roman" w:cs="Times New Roman"/>
                    </w:rPr>
                  </w:pPr>
                </w:p>
              </w:tc>
              <w:tc>
                <w:tcPr>
                  <w:tcW w:w="2821" w:type="dxa"/>
                  <w:vAlign w:val="center"/>
                </w:tcPr>
                <w:p>
                  <w:pPr>
                    <w:jc w:val="center"/>
                    <w:rPr>
                      <w:rFonts w:hint="default" w:ascii="Times New Roman" w:hAnsi="Times New Roman" w:cs="Times New Roman"/>
                    </w:rPr>
                  </w:pPr>
                  <w:r>
                    <w:rPr>
                      <w:rFonts w:hint="default" w:ascii="Times New Roman" w:hAnsi="Times New Roman" w:cs="Times New Roman"/>
                    </w:rPr>
                    <w:t>地形数据分辨率(m)</w:t>
                  </w:r>
                </w:p>
              </w:tc>
              <w:tc>
                <w:tcPr>
                  <w:tcW w:w="3796" w:type="dxa"/>
                  <w:vAlign w:val="center"/>
                </w:tcPr>
                <w:p>
                  <w:pPr>
                    <w:jc w:val="center"/>
                    <w:rPr>
                      <w:rFonts w:hint="default" w:ascii="Times New Roman" w:hAnsi="Times New Roman" w:cs="Times New Roman"/>
                    </w:rPr>
                  </w:pPr>
                  <w:r>
                    <w:rPr>
                      <w:rFonts w:hint="default"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2447" w:type="dxa"/>
                  <w:vMerge w:val="restart"/>
                  <w:vAlign w:val="center"/>
                </w:tcPr>
                <w:p>
                  <w:pPr>
                    <w:jc w:val="center"/>
                    <w:rPr>
                      <w:rFonts w:hint="default" w:ascii="Times New Roman" w:hAnsi="Times New Roman" w:cs="Times New Roman"/>
                    </w:rPr>
                  </w:pPr>
                  <w:r>
                    <w:rPr>
                      <w:rFonts w:hint="default" w:ascii="Times New Roman" w:hAnsi="Times New Roman" w:cs="Times New Roman"/>
                    </w:rPr>
                    <w:t>是否考虑海岸线熏烟</w:t>
                  </w:r>
                </w:p>
              </w:tc>
              <w:tc>
                <w:tcPr>
                  <w:tcW w:w="2821" w:type="dxa"/>
                  <w:vAlign w:val="center"/>
                </w:tcPr>
                <w:p>
                  <w:pPr>
                    <w:jc w:val="center"/>
                    <w:rPr>
                      <w:rFonts w:hint="default" w:ascii="Times New Roman" w:hAnsi="Times New Roman" w:cs="Times New Roman"/>
                    </w:rPr>
                  </w:pPr>
                  <w:r>
                    <w:rPr>
                      <w:rFonts w:hint="default" w:ascii="Times New Roman" w:hAnsi="Times New Roman" w:cs="Times New Roman"/>
                    </w:rPr>
                    <w:t>考虑海岸线熏烟</w:t>
                  </w:r>
                </w:p>
              </w:tc>
              <w:tc>
                <w:tcPr>
                  <w:tcW w:w="3796" w:type="dxa"/>
                  <w:vAlign w:val="center"/>
                </w:tcPr>
                <w:p>
                  <w:pPr>
                    <w:jc w:val="center"/>
                    <w:rPr>
                      <w:rFonts w:hint="default" w:ascii="Times New Roman" w:hAnsi="Times New Roman" w:cs="Times New Roman"/>
                    </w:rPr>
                  </w:pPr>
                  <w:r>
                    <w:rPr>
                      <w:rFonts w:hint="default" w:ascii="Times New Roman" w:hAnsi="Times New Roman" w:cs="Times New Roma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2447" w:type="dxa"/>
                  <w:vMerge w:val="continue"/>
                  <w:vAlign w:val="center"/>
                </w:tcPr>
                <w:p>
                  <w:pPr>
                    <w:jc w:val="center"/>
                    <w:rPr>
                      <w:rFonts w:hint="default" w:ascii="Times New Roman" w:hAnsi="Times New Roman" w:cs="Times New Roman"/>
                    </w:rPr>
                  </w:pPr>
                </w:p>
              </w:tc>
              <w:tc>
                <w:tcPr>
                  <w:tcW w:w="2821" w:type="dxa"/>
                  <w:vAlign w:val="center"/>
                </w:tcPr>
                <w:p>
                  <w:pPr>
                    <w:jc w:val="center"/>
                    <w:rPr>
                      <w:rFonts w:hint="default" w:ascii="Times New Roman" w:hAnsi="Times New Roman" w:cs="Times New Roman"/>
                    </w:rPr>
                  </w:pPr>
                  <w:r>
                    <w:rPr>
                      <w:rFonts w:hint="default" w:ascii="Times New Roman" w:hAnsi="Times New Roman" w:cs="Times New Roman"/>
                    </w:rPr>
                    <w:t>海岸线距离/m</w:t>
                  </w:r>
                </w:p>
              </w:tc>
              <w:tc>
                <w:tcPr>
                  <w:tcW w:w="3796" w:type="dxa"/>
                  <w:vAlign w:val="center"/>
                </w:tcPr>
                <w:p>
                  <w:pPr>
                    <w:jc w:val="center"/>
                    <w:rPr>
                      <w:rFonts w:hint="default" w:ascii="Times New Roman" w:hAnsi="Times New Roman" w:cs="Times New Roman"/>
                    </w:rPr>
                  </w:pPr>
                  <w:r>
                    <w:rPr>
                      <w:rFonts w:hint="default"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2447" w:type="dxa"/>
                  <w:vMerge w:val="continue"/>
                  <w:vAlign w:val="center"/>
                </w:tcPr>
                <w:p>
                  <w:pPr>
                    <w:jc w:val="center"/>
                    <w:rPr>
                      <w:rFonts w:hint="default" w:ascii="Times New Roman" w:hAnsi="Times New Roman" w:cs="Times New Roman"/>
                    </w:rPr>
                  </w:pPr>
                </w:p>
              </w:tc>
              <w:tc>
                <w:tcPr>
                  <w:tcW w:w="2821" w:type="dxa"/>
                  <w:vAlign w:val="center"/>
                </w:tcPr>
                <w:p>
                  <w:pPr>
                    <w:jc w:val="center"/>
                    <w:rPr>
                      <w:rFonts w:hint="default" w:ascii="Times New Roman" w:hAnsi="Times New Roman" w:cs="Times New Roman"/>
                    </w:rPr>
                  </w:pPr>
                  <w:r>
                    <w:rPr>
                      <w:rFonts w:hint="default" w:ascii="Times New Roman" w:hAnsi="Times New Roman" w:cs="Times New Roman"/>
                    </w:rPr>
                    <w:t>海岸线方向/o</w:t>
                  </w:r>
                </w:p>
              </w:tc>
              <w:tc>
                <w:tcPr>
                  <w:tcW w:w="3796" w:type="dxa"/>
                  <w:vAlign w:val="center"/>
                </w:tcPr>
                <w:p>
                  <w:pPr>
                    <w:jc w:val="center"/>
                    <w:rPr>
                      <w:rFonts w:hint="default" w:ascii="Times New Roman" w:hAnsi="Times New Roman" w:cs="Times New Roman"/>
                    </w:rPr>
                  </w:pPr>
                  <w:r>
                    <w:rPr>
                      <w:rFonts w:hint="default" w:ascii="Times New Roman" w:hAnsi="Times New Roman" w:cs="Times New Roman"/>
                    </w:rPr>
                    <w:t>/</w:t>
                  </w:r>
                </w:p>
              </w:tc>
            </w:tr>
          </w:tbl>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2.1.</w:t>
            </w:r>
            <w:r>
              <w:rPr>
                <w:rFonts w:hint="default" w:ascii="Times New Roman" w:hAnsi="Times New Roman" w:cs="Times New Roman"/>
                <w:sz w:val="24"/>
              </w:rPr>
              <w:t>4评级工作等级确定</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本项目所有污染源的正常排放的污染物的Pmax和D10%预测结果如下：</w:t>
            </w:r>
          </w:p>
          <w:p>
            <w:pPr>
              <w:jc w:val="center"/>
              <w:rPr>
                <w:rFonts w:hint="default" w:ascii="Times New Roman" w:hAnsi="Times New Roman" w:cs="Times New Roman"/>
                <w:b/>
                <w:szCs w:val="21"/>
              </w:rPr>
            </w:pPr>
            <w:r>
              <w:rPr>
                <w:rFonts w:hint="default" w:ascii="Times New Roman" w:hAnsi="Times New Roman" w:cs="Times New Roman"/>
                <w:b/>
                <w:szCs w:val="21"/>
              </w:rPr>
              <w:t>表7-</w:t>
            </w:r>
            <w:r>
              <w:rPr>
                <w:rFonts w:hint="eastAsia" w:ascii="Times New Roman" w:hAnsi="Times New Roman" w:cs="Times New Roman"/>
                <w:b/>
                <w:szCs w:val="21"/>
                <w:lang w:val="en-US" w:eastAsia="zh-CN"/>
              </w:rPr>
              <w:t>6</w:t>
            </w:r>
            <w:r>
              <w:rPr>
                <w:rFonts w:hint="default" w:ascii="Times New Roman" w:hAnsi="Times New Roman" w:cs="Times New Roman"/>
                <w:b/>
                <w:szCs w:val="21"/>
              </w:rPr>
              <w:t xml:space="preserve">  P</w:t>
            </w:r>
            <w:r>
              <w:rPr>
                <w:rFonts w:hint="default" w:ascii="Times New Roman" w:hAnsi="Times New Roman" w:cs="Times New Roman"/>
                <w:b/>
                <w:szCs w:val="21"/>
                <w:vertAlign w:val="subscript"/>
              </w:rPr>
              <w:t>max</w:t>
            </w:r>
            <w:r>
              <w:rPr>
                <w:rFonts w:hint="default" w:ascii="Times New Roman" w:hAnsi="Times New Roman" w:cs="Times New Roman"/>
                <w:b/>
                <w:szCs w:val="21"/>
              </w:rPr>
              <w:t>和D</w:t>
            </w:r>
            <w:r>
              <w:rPr>
                <w:rFonts w:hint="default" w:ascii="Times New Roman" w:hAnsi="Times New Roman" w:cs="Times New Roman"/>
                <w:b/>
                <w:szCs w:val="21"/>
                <w:vertAlign w:val="subscript"/>
              </w:rPr>
              <w:t>10%</w:t>
            </w:r>
            <w:r>
              <w:rPr>
                <w:rFonts w:hint="default" w:ascii="Times New Roman" w:hAnsi="Times New Roman" w:cs="Times New Roman"/>
                <w:b/>
                <w:szCs w:val="21"/>
              </w:rPr>
              <w:t>预测和计算结果一览表</w:t>
            </w:r>
          </w:p>
          <w:tbl>
            <w:tblPr>
              <w:tblStyle w:val="39"/>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0"/>
              <w:gridCol w:w="1512"/>
              <w:gridCol w:w="1512"/>
              <w:gridCol w:w="1510"/>
              <w:gridCol w:w="1512"/>
              <w:gridCol w:w="15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510" w:type="dxa"/>
                  <w:vAlign w:val="center"/>
                </w:tcPr>
                <w:p>
                  <w:pPr>
                    <w:jc w:val="center"/>
                    <w:rPr>
                      <w:rFonts w:hint="default" w:ascii="Times New Roman" w:hAnsi="Times New Roman" w:cs="Times New Roman"/>
                    </w:rPr>
                  </w:pPr>
                  <w:r>
                    <w:rPr>
                      <w:rFonts w:hint="default" w:ascii="Times New Roman" w:hAnsi="Times New Roman" w:cs="Times New Roman"/>
                    </w:rPr>
                    <w:t>污染源名称</w:t>
                  </w:r>
                </w:p>
              </w:tc>
              <w:tc>
                <w:tcPr>
                  <w:tcW w:w="1512" w:type="dxa"/>
                  <w:vAlign w:val="center"/>
                </w:tcPr>
                <w:p>
                  <w:pPr>
                    <w:jc w:val="center"/>
                    <w:rPr>
                      <w:rFonts w:hint="default" w:ascii="Times New Roman" w:hAnsi="Times New Roman" w:cs="Times New Roman"/>
                    </w:rPr>
                  </w:pPr>
                  <w:r>
                    <w:rPr>
                      <w:rFonts w:hint="default" w:ascii="Times New Roman" w:hAnsi="Times New Roman" w:cs="Times New Roman"/>
                    </w:rPr>
                    <w:t>评价因子</w:t>
                  </w:r>
                </w:p>
              </w:tc>
              <w:tc>
                <w:tcPr>
                  <w:tcW w:w="1512" w:type="dxa"/>
                  <w:vAlign w:val="center"/>
                </w:tcPr>
                <w:p>
                  <w:pPr>
                    <w:jc w:val="center"/>
                    <w:rPr>
                      <w:rFonts w:hint="default" w:ascii="Times New Roman" w:hAnsi="Times New Roman" w:cs="Times New Roman"/>
                    </w:rPr>
                  </w:pPr>
                  <w:r>
                    <w:rPr>
                      <w:rFonts w:hint="default" w:ascii="Times New Roman" w:hAnsi="Times New Roman" w:cs="Times New Roman"/>
                    </w:rPr>
                    <w:t>评价标准(μg/m</w:t>
                  </w:r>
                  <w:r>
                    <w:rPr>
                      <w:rFonts w:hint="default" w:ascii="Times New Roman" w:hAnsi="Times New Roman" w:cs="Times New Roman"/>
                      <w:vertAlign w:val="superscript"/>
                    </w:rPr>
                    <w:t>3</w:t>
                  </w:r>
                  <w:r>
                    <w:rPr>
                      <w:rFonts w:hint="default" w:ascii="Times New Roman" w:hAnsi="Times New Roman" w:cs="Times New Roman"/>
                    </w:rPr>
                    <w:t>)</w:t>
                  </w:r>
                </w:p>
              </w:tc>
              <w:tc>
                <w:tcPr>
                  <w:tcW w:w="1510" w:type="dxa"/>
                  <w:vAlign w:val="center"/>
                </w:tcPr>
                <w:p>
                  <w:pPr>
                    <w:jc w:val="center"/>
                    <w:rPr>
                      <w:rFonts w:hint="default" w:ascii="Times New Roman" w:hAnsi="Times New Roman" w:cs="Times New Roman"/>
                    </w:rPr>
                  </w:pPr>
                  <w:r>
                    <w:rPr>
                      <w:rFonts w:hint="default" w:ascii="Times New Roman" w:hAnsi="Times New Roman" w:cs="Times New Roman"/>
                    </w:rPr>
                    <w:t>Cmax</w:t>
                  </w:r>
                </w:p>
                <w:p>
                  <w:pPr>
                    <w:jc w:val="center"/>
                    <w:rPr>
                      <w:rFonts w:hint="default" w:ascii="Times New Roman" w:hAnsi="Times New Roman" w:cs="Times New Roman"/>
                    </w:rPr>
                  </w:pPr>
                  <w:r>
                    <w:rPr>
                      <w:rFonts w:hint="default" w:ascii="Times New Roman" w:hAnsi="Times New Roman" w:cs="Times New Roman"/>
                    </w:rPr>
                    <w:t>(μg/m</w:t>
                  </w:r>
                  <w:r>
                    <w:rPr>
                      <w:rFonts w:hint="default" w:ascii="Times New Roman" w:hAnsi="Times New Roman" w:cs="Times New Roman"/>
                      <w:vertAlign w:val="superscript"/>
                    </w:rPr>
                    <w:t>3</w:t>
                  </w:r>
                  <w:r>
                    <w:rPr>
                      <w:rFonts w:hint="default" w:ascii="Times New Roman" w:hAnsi="Times New Roman" w:cs="Times New Roman"/>
                    </w:rPr>
                    <w:t>)</w:t>
                  </w:r>
                </w:p>
              </w:tc>
              <w:tc>
                <w:tcPr>
                  <w:tcW w:w="1512" w:type="dxa"/>
                  <w:vAlign w:val="center"/>
                </w:tcPr>
                <w:p>
                  <w:pPr>
                    <w:jc w:val="center"/>
                    <w:rPr>
                      <w:rFonts w:hint="default" w:ascii="Times New Roman" w:hAnsi="Times New Roman" w:cs="Times New Roman"/>
                    </w:rPr>
                  </w:pPr>
                  <w:r>
                    <w:rPr>
                      <w:rFonts w:hint="default" w:ascii="Times New Roman" w:hAnsi="Times New Roman" w:cs="Times New Roman"/>
                    </w:rPr>
                    <w:t>Pmax</w:t>
                  </w:r>
                </w:p>
                <w:p>
                  <w:pPr>
                    <w:jc w:val="center"/>
                    <w:rPr>
                      <w:rFonts w:hint="default" w:ascii="Times New Roman" w:hAnsi="Times New Roman" w:cs="Times New Roman"/>
                    </w:rPr>
                  </w:pPr>
                  <w:r>
                    <w:rPr>
                      <w:rFonts w:hint="default" w:ascii="Times New Roman" w:hAnsi="Times New Roman" w:cs="Times New Roman"/>
                    </w:rPr>
                    <w:t>(%)</w:t>
                  </w:r>
                </w:p>
              </w:tc>
              <w:tc>
                <w:tcPr>
                  <w:tcW w:w="1508" w:type="dxa"/>
                  <w:vAlign w:val="center"/>
                </w:tcPr>
                <w:p>
                  <w:pPr>
                    <w:jc w:val="center"/>
                    <w:rPr>
                      <w:rFonts w:hint="default" w:ascii="Times New Roman" w:hAnsi="Times New Roman" w:cs="Times New Roman"/>
                    </w:rPr>
                  </w:pPr>
                  <w:r>
                    <w:rPr>
                      <w:rFonts w:hint="default" w:ascii="Times New Roman" w:hAnsi="Times New Roman" w:cs="Times New Roman"/>
                    </w:rPr>
                    <w:t>D10%</w:t>
                  </w:r>
                </w:p>
                <w:p>
                  <w:pPr>
                    <w:jc w:val="center"/>
                    <w:rPr>
                      <w:rFonts w:hint="default" w:ascii="Times New Roman" w:hAnsi="Times New Roman" w:cs="Times New Roman"/>
                    </w:rPr>
                  </w:pPr>
                  <w:r>
                    <w:rPr>
                      <w:rFonts w:hint="default" w:ascii="Times New Roman" w:hAnsi="Times New Roman" w:cs="Times New Roman"/>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510" w:type="dxa"/>
                  <w:vAlign w:val="center"/>
                </w:tcPr>
                <w:p>
                  <w:pPr>
                    <w:jc w:val="center"/>
                    <w:rPr>
                      <w:rFonts w:hint="default" w:ascii="Times New Roman" w:hAnsi="Times New Roman" w:cs="Times New Roman"/>
                    </w:rPr>
                  </w:pPr>
                  <w:r>
                    <w:rPr>
                      <w:rFonts w:hint="default" w:ascii="Times New Roman" w:hAnsi="Times New Roman" w:cs="Times New Roman"/>
                    </w:rPr>
                    <w:t>矩形面源</w:t>
                  </w:r>
                </w:p>
              </w:tc>
              <w:tc>
                <w:tcPr>
                  <w:tcW w:w="1512" w:type="dxa"/>
                  <w:vAlign w:val="center"/>
                </w:tcPr>
                <w:p>
                  <w:pPr>
                    <w:jc w:val="center"/>
                    <w:rPr>
                      <w:rFonts w:hint="default" w:ascii="Times New Roman" w:hAnsi="Times New Roman" w:cs="Times New Roman"/>
                    </w:rPr>
                  </w:pPr>
                  <w:r>
                    <w:rPr>
                      <w:rFonts w:hint="default" w:ascii="Times New Roman" w:hAnsi="Times New Roman" w:cs="Times New Roman"/>
                    </w:rPr>
                    <w:t>颗粒物</w:t>
                  </w:r>
                </w:p>
              </w:tc>
              <w:tc>
                <w:tcPr>
                  <w:tcW w:w="1512" w:type="dxa"/>
                  <w:vAlign w:val="center"/>
                </w:tcPr>
                <w:p>
                  <w:pPr>
                    <w:jc w:val="center"/>
                    <w:rPr>
                      <w:rFonts w:hint="default" w:ascii="Times New Roman" w:hAnsi="Times New Roman" w:cs="Times New Roman"/>
                    </w:rPr>
                  </w:pPr>
                  <w:r>
                    <w:rPr>
                      <w:rFonts w:hint="default" w:ascii="Times New Roman" w:hAnsi="Times New Roman" w:cs="Times New Roman"/>
                    </w:rPr>
                    <w:t>900.0</w:t>
                  </w:r>
                </w:p>
              </w:tc>
              <w:tc>
                <w:tcPr>
                  <w:tcW w:w="1510" w:type="dxa"/>
                  <w:vAlign w:val="center"/>
                </w:tcPr>
                <w:p>
                  <w:pPr>
                    <w:jc w:val="center"/>
                    <w:rPr>
                      <w:rFonts w:hint="default" w:ascii="Times New Roman" w:hAnsi="Times New Roman" w:cs="Times New Roman"/>
                    </w:rPr>
                  </w:pPr>
                  <w:r>
                    <w:rPr>
                      <w:rFonts w:hint="eastAsia"/>
                    </w:rPr>
                    <w:t>11.010</w:t>
                  </w:r>
                </w:p>
              </w:tc>
              <w:tc>
                <w:tcPr>
                  <w:tcW w:w="1512" w:type="dxa"/>
                  <w:vAlign w:val="center"/>
                </w:tcPr>
                <w:p>
                  <w:pPr>
                    <w:jc w:val="center"/>
                    <w:rPr>
                      <w:rFonts w:hint="default" w:ascii="Times New Roman" w:hAnsi="Times New Roman" w:cs="Times New Roman"/>
                    </w:rPr>
                  </w:pPr>
                  <w:r>
                    <w:rPr>
                      <w:rFonts w:hint="eastAsia"/>
                    </w:rPr>
                    <w:t>1.2</w:t>
                  </w:r>
                </w:p>
              </w:tc>
              <w:tc>
                <w:tcPr>
                  <w:tcW w:w="1508" w:type="dxa"/>
                  <w:vAlign w:val="center"/>
                </w:tcPr>
                <w:p>
                  <w:pPr>
                    <w:jc w:val="center"/>
                    <w:rPr>
                      <w:rFonts w:hint="default" w:ascii="Times New Roman" w:hAnsi="Times New Roman" w:cs="Times New Roman"/>
                    </w:rPr>
                  </w:pPr>
                  <w:r>
                    <w:rPr>
                      <w:rFonts w:hint="default" w:ascii="Times New Roman" w:hAnsi="Times New Roman" w:cs="Times New Roman"/>
                    </w:rPr>
                    <w:t>/</w:t>
                  </w:r>
                </w:p>
              </w:tc>
            </w:tr>
          </w:tbl>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综合以上分析，本项目P</w:t>
            </w:r>
            <w:r>
              <w:rPr>
                <w:rFonts w:hint="default" w:ascii="Times New Roman" w:hAnsi="Times New Roman" w:cs="Times New Roman"/>
                <w:sz w:val="24"/>
                <w:vertAlign w:val="subscript"/>
              </w:rPr>
              <w:t>max</w:t>
            </w:r>
            <w:r>
              <w:rPr>
                <w:rFonts w:hint="default" w:ascii="Times New Roman" w:hAnsi="Times New Roman" w:cs="Times New Roman"/>
                <w:sz w:val="24"/>
              </w:rPr>
              <w:t>矩形面源排放的颗粒物，P</w:t>
            </w:r>
            <w:r>
              <w:rPr>
                <w:rFonts w:hint="default" w:ascii="Times New Roman" w:hAnsi="Times New Roman" w:cs="Times New Roman"/>
                <w:sz w:val="24"/>
                <w:vertAlign w:val="subscript"/>
              </w:rPr>
              <w:t>max</w:t>
            </w:r>
            <w:r>
              <w:rPr>
                <w:rFonts w:hint="default" w:ascii="Times New Roman" w:hAnsi="Times New Roman" w:cs="Times New Roman"/>
                <w:sz w:val="24"/>
              </w:rPr>
              <w:t>值为</w:t>
            </w:r>
            <w:r>
              <w:rPr>
                <w:rFonts w:hint="eastAsia" w:ascii="Times New Roman" w:hAnsi="Times New Roman" w:cs="Times New Roman"/>
                <w:sz w:val="24"/>
                <w:lang w:val="en-US" w:eastAsia="zh-CN"/>
              </w:rPr>
              <w:t>1.2</w:t>
            </w:r>
            <w:r>
              <w:rPr>
                <w:rFonts w:hint="default" w:ascii="Times New Roman" w:hAnsi="Times New Roman" w:cs="Times New Roman"/>
                <w:sz w:val="24"/>
              </w:rPr>
              <w:t>%，C</w:t>
            </w:r>
            <w:r>
              <w:rPr>
                <w:rFonts w:hint="default" w:ascii="Times New Roman" w:hAnsi="Times New Roman" w:cs="Times New Roman"/>
                <w:sz w:val="24"/>
                <w:vertAlign w:val="subscript"/>
              </w:rPr>
              <w:t>max</w:t>
            </w:r>
            <w:r>
              <w:rPr>
                <w:rFonts w:hint="default" w:ascii="Times New Roman" w:hAnsi="Times New Roman" w:cs="Times New Roman"/>
                <w:sz w:val="24"/>
              </w:rPr>
              <w:t>为</w:t>
            </w:r>
            <w:r>
              <w:rPr>
                <w:rFonts w:hint="eastAsia" w:ascii="Times New Roman" w:hAnsi="Times New Roman" w:cs="Times New Roman"/>
                <w:sz w:val="24"/>
                <w:lang w:val="en-US" w:eastAsia="zh-CN"/>
              </w:rPr>
              <w:t>11.01</w:t>
            </w:r>
            <w:r>
              <w:rPr>
                <w:rFonts w:hint="default" w:ascii="Times New Roman" w:hAnsi="Times New Roman" w:cs="Times New Roman"/>
                <w:sz w:val="24"/>
              </w:rPr>
              <w:t>ug/m</w:t>
            </w:r>
            <w:r>
              <w:rPr>
                <w:rFonts w:hint="default" w:ascii="Times New Roman" w:hAnsi="Times New Roman" w:cs="Times New Roman"/>
                <w:sz w:val="24"/>
                <w:vertAlign w:val="superscript"/>
              </w:rPr>
              <w:t>3</w:t>
            </w:r>
            <w:r>
              <w:rPr>
                <w:rFonts w:hint="default" w:ascii="Times New Roman" w:hAnsi="Times New Roman" w:cs="Times New Roman"/>
                <w:sz w:val="24"/>
              </w:rPr>
              <w:t>，根据《环境影响评价技术导则 大气环境》(HJ2.2-2018)分级判据，确定本项目大气环境影响评价工作等级为二级。</w:t>
            </w:r>
          </w:p>
          <w:p>
            <w:pPr>
              <w:spacing w:line="360" w:lineRule="auto"/>
              <w:ind w:firstLine="482" w:firstLineChars="200"/>
              <w:rPr>
                <w:rFonts w:hint="default" w:ascii="Times New Roman" w:hAnsi="Times New Roman" w:cs="Times New Roman"/>
                <w:b/>
                <w:sz w:val="24"/>
              </w:rPr>
            </w:pPr>
            <w:r>
              <w:rPr>
                <w:rFonts w:hint="eastAsia" w:ascii="Times New Roman" w:hAnsi="Times New Roman" w:cs="Times New Roman"/>
                <w:b/>
                <w:sz w:val="24"/>
                <w:lang w:val="en-US" w:eastAsia="zh-CN"/>
              </w:rPr>
              <w:t>2.2</w:t>
            </w:r>
            <w:r>
              <w:rPr>
                <w:rFonts w:hint="default" w:ascii="Times New Roman" w:hAnsi="Times New Roman" w:cs="Times New Roman"/>
                <w:b/>
                <w:sz w:val="24"/>
              </w:rPr>
              <w:t>大气环境防护距离分析</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根由《环境影响评价技术导则 大气环境》（HJ2.2-2018）可知，大气环境防护距离是为了保护人群健康，减少正常排放条件下大气污染物对居住区的环境影响，在项目厂界以外设置的环境防护距离。有上文分析可知，项目无组织排放的最大污染物为生产车间产生的颗粒物，根据《环境影响评价技术导则 大气环境》（HJ2.2-2018）推荐计算模式，本项目所有污染物对厂界外短期贡献浓度均未超过质量标准，因此本项目无需设置大气环境防护距离。</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建设单位应加强车间通风换气，及时清扫，确保厂界</w:t>
            </w:r>
            <w:r>
              <w:rPr>
                <w:rFonts w:hint="eastAsia" w:ascii="Times New Roman" w:hAnsi="Times New Roman" w:cs="Times New Roman"/>
                <w:sz w:val="24"/>
                <w:lang w:eastAsia="zh-CN"/>
              </w:rPr>
              <w:t>颗粒物</w:t>
            </w:r>
            <w:r>
              <w:rPr>
                <w:rFonts w:hint="default" w:ascii="Times New Roman" w:hAnsi="Times New Roman" w:cs="Times New Roman"/>
                <w:sz w:val="24"/>
              </w:rPr>
              <w:t>满足《大气污染物综合排放标准》（GB16297-1996）二级标准。</w:t>
            </w:r>
          </w:p>
          <w:p>
            <w:pPr>
              <w:spacing w:line="360" w:lineRule="auto"/>
              <w:ind w:firstLine="482" w:firstLineChars="200"/>
              <w:rPr>
                <w:rFonts w:hint="default" w:ascii="Times New Roman" w:hAnsi="Times New Roman" w:cs="Times New Roman"/>
                <w:b/>
                <w:bCs/>
                <w:sz w:val="24"/>
              </w:rPr>
            </w:pPr>
            <w:r>
              <w:rPr>
                <w:rFonts w:hint="eastAsia" w:ascii="Times New Roman" w:hAnsi="Times New Roman" w:cs="Times New Roman"/>
                <w:b/>
                <w:sz w:val="24"/>
                <w:lang w:val="en-US" w:eastAsia="zh-CN"/>
              </w:rPr>
              <w:t>2.3</w:t>
            </w:r>
            <w:r>
              <w:rPr>
                <w:rFonts w:hint="default" w:ascii="Times New Roman" w:hAnsi="Times New Roman" w:cs="Times New Roman"/>
                <w:b/>
                <w:bCs/>
                <w:sz w:val="24"/>
              </w:rPr>
              <w:t>主要大气污染物排放量核算</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项目主要大气污染物排放量核算根据《环境影响评价技术导则 大气环境》（HJ2.2-2018）8.8.7污染物排放量核算要求，结合《排污许可证申请与核发技术规范 总则》（HJ 942-2018）排放口划分有关规定进行核算。</w:t>
            </w:r>
          </w:p>
          <w:p>
            <w:pPr>
              <w:pStyle w:val="12"/>
              <w:spacing w:line="360" w:lineRule="auto"/>
              <w:ind w:firstLine="480" w:firstLineChars="200"/>
              <w:rPr>
                <w:rFonts w:hint="default" w:ascii="Times New Roman" w:hAnsi="Times New Roman" w:cs="Times New Roman"/>
              </w:rPr>
            </w:pPr>
            <w:r>
              <w:rPr>
                <w:rFonts w:hint="default" w:ascii="Times New Roman" w:hAnsi="Times New Roman" w:cs="Times New Roman"/>
              </w:rPr>
              <w:t>项目无组织排放核算情况详见下表</w:t>
            </w:r>
          </w:p>
          <w:p>
            <w:pPr>
              <w:pStyle w:val="12"/>
              <w:jc w:val="center"/>
              <w:rPr>
                <w:rFonts w:hint="default" w:ascii="Times New Roman" w:hAnsi="Times New Roman" w:cs="Times New Roman"/>
                <w:b/>
                <w:sz w:val="21"/>
                <w:szCs w:val="21"/>
              </w:rPr>
            </w:pPr>
          </w:p>
          <w:p>
            <w:pPr>
              <w:pStyle w:val="12"/>
              <w:jc w:val="center"/>
              <w:rPr>
                <w:rFonts w:hint="default" w:ascii="Times New Roman" w:hAnsi="Times New Roman" w:cs="Times New Roman"/>
                <w:b/>
                <w:sz w:val="21"/>
                <w:szCs w:val="21"/>
              </w:rPr>
            </w:pPr>
          </w:p>
          <w:p>
            <w:pPr>
              <w:pStyle w:val="12"/>
              <w:jc w:val="center"/>
              <w:rPr>
                <w:rFonts w:hint="default" w:ascii="Times New Roman" w:hAnsi="Times New Roman" w:cs="Times New Roman"/>
                <w:b/>
                <w:sz w:val="21"/>
                <w:szCs w:val="21"/>
              </w:rPr>
            </w:pPr>
            <w:r>
              <w:rPr>
                <w:rFonts w:hint="default" w:ascii="Times New Roman" w:hAnsi="Times New Roman" w:cs="Times New Roman"/>
                <w:b/>
                <w:sz w:val="21"/>
                <w:szCs w:val="21"/>
              </w:rPr>
              <w:t>表7-</w:t>
            </w:r>
            <w:r>
              <w:rPr>
                <w:rFonts w:hint="eastAsia" w:ascii="Times New Roman" w:hAnsi="Times New Roman" w:cs="Times New Roman"/>
                <w:b/>
                <w:sz w:val="21"/>
                <w:szCs w:val="21"/>
                <w:lang w:val="en-US" w:eastAsia="zh-CN"/>
              </w:rPr>
              <w:t>7</w:t>
            </w:r>
            <w:r>
              <w:rPr>
                <w:rFonts w:hint="default" w:ascii="Times New Roman" w:hAnsi="Times New Roman" w:cs="Times New Roman"/>
                <w:b/>
                <w:sz w:val="21"/>
                <w:szCs w:val="21"/>
              </w:rPr>
              <w:t xml:space="preserve"> 大气污染物无组织排放量核算表</w:t>
            </w:r>
          </w:p>
          <w:tbl>
            <w:tblPr>
              <w:tblStyle w:val="39"/>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8"/>
              <w:gridCol w:w="877"/>
              <w:gridCol w:w="870"/>
              <w:gridCol w:w="734"/>
              <w:gridCol w:w="1452"/>
              <w:gridCol w:w="2041"/>
              <w:gridCol w:w="1325"/>
              <w:gridCol w:w="1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88" w:type="dxa"/>
                  <w:vMerge w:val="restart"/>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77" w:type="dxa"/>
                  <w:vMerge w:val="restart"/>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排放口编号</w:t>
                  </w:r>
                </w:p>
              </w:tc>
              <w:tc>
                <w:tcPr>
                  <w:tcW w:w="870" w:type="dxa"/>
                  <w:vMerge w:val="restart"/>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产污环节</w:t>
                  </w:r>
                </w:p>
              </w:tc>
              <w:tc>
                <w:tcPr>
                  <w:tcW w:w="734" w:type="dxa"/>
                  <w:vMerge w:val="restart"/>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1452" w:type="dxa"/>
                  <w:vMerge w:val="restart"/>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主要污染防治措施</w:t>
                  </w:r>
                </w:p>
              </w:tc>
              <w:tc>
                <w:tcPr>
                  <w:tcW w:w="3366" w:type="dxa"/>
                  <w:gridSpan w:val="2"/>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国家或地方污染物排放标准</w:t>
                  </w:r>
                </w:p>
              </w:tc>
              <w:tc>
                <w:tcPr>
                  <w:tcW w:w="1177" w:type="dxa"/>
                  <w:vMerge w:val="restart"/>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88" w:type="dxa"/>
                  <w:vMerge w:val="continue"/>
                  <w:vAlign w:val="center"/>
                </w:tcPr>
                <w:p>
                  <w:pPr>
                    <w:pStyle w:val="12"/>
                    <w:jc w:val="center"/>
                    <w:rPr>
                      <w:rFonts w:hint="default" w:ascii="Times New Roman" w:hAnsi="Times New Roman" w:cs="Times New Roman"/>
                      <w:sz w:val="21"/>
                      <w:szCs w:val="21"/>
                    </w:rPr>
                  </w:pPr>
                </w:p>
              </w:tc>
              <w:tc>
                <w:tcPr>
                  <w:tcW w:w="877" w:type="dxa"/>
                  <w:vMerge w:val="continue"/>
                  <w:vAlign w:val="center"/>
                </w:tcPr>
                <w:p>
                  <w:pPr>
                    <w:pStyle w:val="12"/>
                    <w:jc w:val="center"/>
                    <w:rPr>
                      <w:rFonts w:hint="default" w:ascii="Times New Roman" w:hAnsi="Times New Roman" w:cs="Times New Roman"/>
                      <w:sz w:val="21"/>
                      <w:szCs w:val="21"/>
                    </w:rPr>
                  </w:pPr>
                </w:p>
              </w:tc>
              <w:tc>
                <w:tcPr>
                  <w:tcW w:w="870" w:type="dxa"/>
                  <w:vMerge w:val="continue"/>
                  <w:vAlign w:val="center"/>
                </w:tcPr>
                <w:p>
                  <w:pPr>
                    <w:pStyle w:val="12"/>
                    <w:jc w:val="center"/>
                    <w:rPr>
                      <w:rFonts w:hint="default" w:ascii="Times New Roman" w:hAnsi="Times New Roman" w:cs="Times New Roman"/>
                      <w:sz w:val="21"/>
                      <w:szCs w:val="21"/>
                    </w:rPr>
                  </w:pPr>
                </w:p>
              </w:tc>
              <w:tc>
                <w:tcPr>
                  <w:tcW w:w="734" w:type="dxa"/>
                  <w:vMerge w:val="continue"/>
                  <w:vAlign w:val="center"/>
                </w:tcPr>
                <w:p>
                  <w:pPr>
                    <w:pStyle w:val="12"/>
                    <w:jc w:val="center"/>
                    <w:rPr>
                      <w:rFonts w:hint="default" w:ascii="Times New Roman" w:hAnsi="Times New Roman" w:cs="Times New Roman"/>
                      <w:sz w:val="21"/>
                      <w:szCs w:val="21"/>
                    </w:rPr>
                  </w:pPr>
                </w:p>
              </w:tc>
              <w:tc>
                <w:tcPr>
                  <w:tcW w:w="1452" w:type="dxa"/>
                  <w:vMerge w:val="continue"/>
                  <w:vAlign w:val="center"/>
                </w:tcPr>
                <w:p>
                  <w:pPr>
                    <w:pStyle w:val="12"/>
                    <w:jc w:val="center"/>
                    <w:rPr>
                      <w:rFonts w:hint="default" w:ascii="Times New Roman" w:hAnsi="Times New Roman" w:cs="Times New Roman"/>
                      <w:sz w:val="21"/>
                      <w:szCs w:val="21"/>
                    </w:rPr>
                  </w:pPr>
                </w:p>
              </w:tc>
              <w:tc>
                <w:tcPr>
                  <w:tcW w:w="2041"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标准名称</w:t>
                  </w:r>
                </w:p>
              </w:tc>
              <w:tc>
                <w:tcPr>
                  <w:tcW w:w="1325"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浓度限值/（mg/m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177" w:type="dxa"/>
                  <w:vMerge w:val="continue"/>
                  <w:vAlign w:val="center"/>
                </w:tcPr>
                <w:p>
                  <w:pPr>
                    <w:pStyle w:val="12"/>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88"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877"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870" w:type="dxa"/>
                  <w:vAlign w:val="center"/>
                </w:tcPr>
                <w:p>
                  <w:pPr>
                    <w:pStyle w:val="12"/>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打磨</w:t>
                  </w:r>
                </w:p>
              </w:tc>
              <w:tc>
                <w:tcPr>
                  <w:tcW w:w="734"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1452"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湿法除尘系统处理</w:t>
                  </w:r>
                  <w:r>
                    <w:rPr>
                      <w:rFonts w:hint="default" w:ascii="Times New Roman" w:hAnsi="Times New Roman" w:cs="Times New Roman"/>
                      <w:sz w:val="21"/>
                      <w:szCs w:val="21"/>
                    </w:rPr>
                    <w:t>后在厂区内无组织排放</w:t>
                  </w:r>
                </w:p>
              </w:tc>
              <w:tc>
                <w:tcPr>
                  <w:tcW w:w="2041" w:type="dxa"/>
                  <w:vMerge w:val="restart"/>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《大气污染物综合排放标准》（GB16297-1996）</w:t>
                  </w:r>
                </w:p>
              </w:tc>
              <w:tc>
                <w:tcPr>
                  <w:tcW w:w="1325" w:type="dxa"/>
                  <w:vMerge w:val="restart"/>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177" w:type="dxa"/>
                  <w:vAlign w:val="center"/>
                </w:tcPr>
                <w:p>
                  <w:pPr>
                    <w:pStyle w:val="12"/>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88" w:type="dxa"/>
                  <w:vAlign w:val="center"/>
                </w:tcPr>
                <w:p>
                  <w:pPr>
                    <w:pStyle w:val="12"/>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877" w:type="dxa"/>
                  <w:vAlign w:val="center"/>
                </w:tcPr>
                <w:p>
                  <w:pPr>
                    <w:pStyle w:val="12"/>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870" w:type="dxa"/>
                  <w:vAlign w:val="center"/>
                </w:tcPr>
                <w:p>
                  <w:pPr>
                    <w:pStyle w:val="12"/>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抛丸</w:t>
                  </w:r>
                </w:p>
              </w:tc>
              <w:tc>
                <w:tcPr>
                  <w:tcW w:w="734"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1452" w:type="dxa"/>
                  <w:vAlign w:val="center"/>
                </w:tcPr>
                <w:p>
                  <w:pPr>
                    <w:pStyle w:val="12"/>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自带布袋除尘器处理后</w:t>
                  </w:r>
                  <w:r>
                    <w:rPr>
                      <w:rFonts w:hint="default" w:ascii="Times New Roman" w:hAnsi="Times New Roman" w:cs="Times New Roman"/>
                      <w:sz w:val="21"/>
                      <w:szCs w:val="21"/>
                    </w:rPr>
                    <w:t>在厂区内无组织排放</w:t>
                  </w:r>
                </w:p>
              </w:tc>
              <w:tc>
                <w:tcPr>
                  <w:tcW w:w="2041" w:type="dxa"/>
                  <w:vMerge w:val="continue"/>
                  <w:vAlign w:val="center"/>
                </w:tcPr>
                <w:p>
                  <w:pPr>
                    <w:pStyle w:val="12"/>
                    <w:jc w:val="center"/>
                    <w:rPr>
                      <w:rFonts w:hint="default" w:ascii="Times New Roman" w:hAnsi="Times New Roman" w:cs="Times New Roman"/>
                      <w:sz w:val="21"/>
                      <w:szCs w:val="21"/>
                    </w:rPr>
                  </w:pPr>
                </w:p>
              </w:tc>
              <w:tc>
                <w:tcPr>
                  <w:tcW w:w="1325" w:type="dxa"/>
                  <w:vMerge w:val="continue"/>
                  <w:vAlign w:val="center"/>
                </w:tcPr>
                <w:p>
                  <w:pPr>
                    <w:pStyle w:val="12"/>
                    <w:jc w:val="center"/>
                    <w:rPr>
                      <w:rFonts w:hint="default" w:ascii="Times New Roman" w:hAnsi="Times New Roman" w:cs="Times New Roman"/>
                      <w:sz w:val="21"/>
                      <w:szCs w:val="21"/>
                    </w:rPr>
                  </w:pPr>
                </w:p>
              </w:tc>
              <w:tc>
                <w:tcPr>
                  <w:tcW w:w="1177" w:type="dxa"/>
                  <w:vAlign w:val="center"/>
                </w:tcPr>
                <w:p>
                  <w:pPr>
                    <w:pStyle w:val="12"/>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588" w:type="dxa"/>
                  <w:vAlign w:val="center"/>
                </w:tcPr>
                <w:p>
                  <w:pPr>
                    <w:pStyle w:val="12"/>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877"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870" w:type="dxa"/>
                  <w:vAlign w:val="center"/>
                </w:tcPr>
                <w:p>
                  <w:pPr>
                    <w:pStyle w:val="12"/>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抛光</w:t>
                  </w:r>
                </w:p>
              </w:tc>
              <w:tc>
                <w:tcPr>
                  <w:tcW w:w="734"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1452"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湿法除尘系统处理</w:t>
                  </w:r>
                  <w:r>
                    <w:rPr>
                      <w:rFonts w:hint="default" w:ascii="Times New Roman" w:hAnsi="Times New Roman" w:cs="Times New Roman"/>
                      <w:sz w:val="21"/>
                      <w:szCs w:val="21"/>
                    </w:rPr>
                    <w:t>后在厂区内无组织排放</w:t>
                  </w:r>
                </w:p>
              </w:tc>
              <w:tc>
                <w:tcPr>
                  <w:tcW w:w="2041" w:type="dxa"/>
                  <w:vMerge w:val="continue"/>
                  <w:vAlign w:val="center"/>
                </w:tcPr>
                <w:p>
                  <w:pPr>
                    <w:pStyle w:val="12"/>
                    <w:jc w:val="center"/>
                    <w:rPr>
                      <w:rFonts w:hint="default" w:ascii="Times New Roman" w:hAnsi="Times New Roman" w:cs="Times New Roman"/>
                      <w:sz w:val="21"/>
                      <w:szCs w:val="21"/>
                    </w:rPr>
                  </w:pPr>
                </w:p>
              </w:tc>
              <w:tc>
                <w:tcPr>
                  <w:tcW w:w="1325" w:type="dxa"/>
                  <w:vMerge w:val="continue"/>
                  <w:vAlign w:val="center"/>
                </w:tcPr>
                <w:p>
                  <w:pPr>
                    <w:pStyle w:val="12"/>
                    <w:jc w:val="center"/>
                    <w:rPr>
                      <w:rFonts w:hint="default" w:ascii="Times New Roman" w:hAnsi="Times New Roman" w:cs="Times New Roman"/>
                      <w:sz w:val="21"/>
                      <w:szCs w:val="21"/>
                    </w:rPr>
                  </w:pPr>
                </w:p>
              </w:tc>
              <w:tc>
                <w:tcPr>
                  <w:tcW w:w="1177" w:type="dxa"/>
                  <w:vAlign w:val="center"/>
                </w:tcPr>
                <w:p>
                  <w:pPr>
                    <w:pStyle w:val="12"/>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064" w:type="dxa"/>
                  <w:gridSpan w:val="8"/>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无组织排放总计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9" w:hRule="atLeast"/>
                <w:jc w:val="center"/>
              </w:trPr>
              <w:tc>
                <w:tcPr>
                  <w:tcW w:w="3069" w:type="dxa"/>
                  <w:gridSpan w:val="4"/>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无组织排放总计</w:t>
                  </w:r>
                </w:p>
              </w:tc>
              <w:tc>
                <w:tcPr>
                  <w:tcW w:w="3493" w:type="dxa"/>
                  <w:gridSpan w:val="2"/>
                  <w:vAlign w:val="center"/>
                </w:tcPr>
                <w:p>
                  <w:pPr>
                    <w:pStyle w:val="12"/>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颗粒物</w:t>
                  </w:r>
                </w:p>
              </w:tc>
              <w:tc>
                <w:tcPr>
                  <w:tcW w:w="2502" w:type="dxa"/>
                  <w:gridSpan w:val="2"/>
                  <w:vAlign w:val="center"/>
                </w:tcPr>
                <w:p>
                  <w:pPr>
                    <w:pStyle w:val="12"/>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0.037</w:t>
                  </w:r>
                </w:p>
              </w:tc>
            </w:tr>
          </w:tbl>
          <w:p>
            <w:pPr>
              <w:adjustRightInd w:val="0"/>
              <w:snapToGrid w:val="0"/>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3、噪声环境影响分析</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噪声主要来自于主要机械设备声源为断料机、压力机、轧机、冲床、车床、磨床、铣床、</w:t>
            </w:r>
            <w:r>
              <w:rPr>
                <w:rFonts w:hint="default" w:ascii="Times New Roman" w:hAnsi="Times New Roman" w:cs="Times New Roman"/>
                <w:sz w:val="24"/>
                <w:lang w:eastAsia="zh-CN"/>
              </w:rPr>
              <w:t>研磨机</w:t>
            </w:r>
            <w:r>
              <w:rPr>
                <w:rFonts w:hint="default" w:ascii="Times New Roman" w:hAnsi="Times New Roman" w:cs="Times New Roman"/>
                <w:sz w:val="24"/>
              </w:rPr>
              <w:t>、</w:t>
            </w:r>
            <w:r>
              <w:rPr>
                <w:rFonts w:hint="default" w:ascii="Times New Roman" w:hAnsi="Times New Roman" w:cs="Times New Roman"/>
                <w:sz w:val="24"/>
                <w:lang w:eastAsia="zh-CN"/>
              </w:rPr>
              <w:t>抛丸</w:t>
            </w:r>
            <w:r>
              <w:rPr>
                <w:rFonts w:hint="default" w:ascii="Times New Roman" w:hAnsi="Times New Roman" w:cs="Times New Roman"/>
                <w:sz w:val="24"/>
              </w:rPr>
              <w:t>机、数控抛光机、中频炉、拉床、火花机等设备在运行时产生的噪声，噪声源强为</w:t>
            </w:r>
            <w:r>
              <w:rPr>
                <w:rFonts w:hint="eastAsia" w:ascii="Times New Roman" w:hAnsi="Times New Roman" w:cs="Times New Roman"/>
                <w:sz w:val="24"/>
                <w:lang w:val="en-US" w:eastAsia="zh-CN"/>
              </w:rPr>
              <w:t>60-</w:t>
            </w:r>
            <w:r>
              <w:rPr>
                <w:rFonts w:hint="default" w:ascii="Times New Roman" w:hAnsi="Times New Roman" w:cs="Times New Roman"/>
                <w:sz w:val="24"/>
              </w:rPr>
              <w:t>90 dB(A)。厂房合理布局并设置减振基础，橡胶垫等防噪设施，经过以上措施处理后，隔声效果可以达到25 dB(A)。</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项目在高强度噪声设备上配置减振垫，根据</w:t>
            </w:r>
            <w:r>
              <w:rPr>
                <w:rFonts w:hint="default" w:ascii="Times New Roman" w:hAnsi="Times New Roman" w:cs="Times New Roman"/>
                <w:kern w:val="0"/>
                <w:sz w:val="24"/>
              </w:rPr>
              <w:t>各点源对场界的贡献值，预测各场界噪声值公式如下</w:t>
            </w:r>
            <w:r>
              <w:rPr>
                <w:rFonts w:hint="default" w:ascii="Times New Roman" w:hAnsi="Times New Roman" w:cs="Times New Roman"/>
                <w:sz w:val="24"/>
              </w:rPr>
              <w:t>：</w:t>
            </w:r>
          </w:p>
          <w:p>
            <w:pPr>
              <w:spacing w:line="480" w:lineRule="exact"/>
              <w:contextualSpacing/>
              <w:jc w:val="left"/>
              <w:rPr>
                <w:rFonts w:hint="default" w:ascii="Times New Roman" w:hAnsi="Times New Roman" w:cs="Times New Roman"/>
                <w:sz w:val="24"/>
              </w:rPr>
            </w:pPr>
            <w:r>
              <w:rPr>
                <w:rFonts w:hint="default" w:ascii="Times New Roman" w:hAnsi="Times New Roman" w:eastAsia="宋体" w:cs="Times New Roman"/>
                <w:bCs/>
                <w:kern w:val="2"/>
                <w:sz w:val="28"/>
                <w:szCs w:val="24"/>
                <w:lang w:val="en-US" w:eastAsia="zh-CN" w:bidi="ar-SA"/>
              </w:rPr>
              <w:pict>
                <v:rect id="文本框 2" o:spid="_x0000_s2052" o:spt="1" style="position:absolute;left:0pt;margin-left:120.75pt;margin-top:-1.35pt;height:40.4pt;width:144.05pt;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spacing w:line="400" w:lineRule="exact"/>
                          <w:jc w:val="center"/>
                          <w:rPr>
                            <w:sz w:val="28"/>
                            <w:szCs w:val="28"/>
                          </w:rPr>
                        </w:pPr>
                        <w:r>
                          <w:rPr>
                            <w:rFonts w:ascii="Times New Roman" w:hAnsi="Times New Roman" w:eastAsia="宋体" w:cs="Times New Roman"/>
                            <w:kern w:val="2"/>
                            <w:position w:val="-28"/>
                            <w:sz w:val="21"/>
                            <w:szCs w:val="24"/>
                            <w:lang w:val="en-US" w:eastAsia="zh-CN" w:bidi="ar-SA"/>
                          </w:rPr>
                          <w:object>
                            <v:shape id="_x0000_i1026" o:spt="75" type="#_x0000_t75" style="height:33pt;width:129.75pt;" o:ole="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o:OLEObject Type="Embed" ProgID="" ShapeID="_x0000_i1026" DrawAspect="Content" ObjectID="_1468075725" r:id="rId7">
                              <o:LockedField>false</o:LockedField>
                            </o:OLEObject>
                          </w:object>
                        </w:r>
                      </w:p>
                    </w:txbxContent>
                  </v:textbox>
                </v:rect>
              </w:pict>
            </w:r>
          </w:p>
          <w:p>
            <w:pPr>
              <w:widowControl/>
              <w:spacing w:line="480" w:lineRule="exact"/>
              <w:ind w:firstLine="573"/>
              <w:rPr>
                <w:rFonts w:hint="default" w:ascii="Times New Roman" w:hAnsi="Times New Roman" w:cs="Times New Roman"/>
                <w:kern w:val="0"/>
                <w:sz w:val="24"/>
              </w:rPr>
            </w:pPr>
            <w:r>
              <w:rPr>
                <w:rFonts w:hint="default" w:ascii="Times New Roman" w:hAnsi="Times New Roman" w:cs="Times New Roman"/>
                <w:kern w:val="0"/>
                <w:sz w:val="24"/>
              </w:rPr>
              <w:t xml:space="preserve">式中： </w:t>
            </w:r>
            <w:r>
              <w:rPr>
                <w:rFonts w:hint="default" w:ascii="Times New Roman" w:hAnsi="Times New Roman" w:cs="Times New Roman"/>
                <w:i/>
                <w:iCs/>
                <w:kern w:val="0"/>
                <w:sz w:val="24"/>
              </w:rPr>
              <w:t>L</w:t>
            </w:r>
            <w:r>
              <w:rPr>
                <w:rFonts w:hint="default" w:ascii="Times New Roman" w:hAnsi="Times New Roman" w:cs="Times New Roman"/>
                <w:i/>
                <w:iCs/>
                <w:kern w:val="0"/>
                <w:sz w:val="24"/>
                <w:vertAlign w:val="subscript"/>
              </w:rPr>
              <w:t>eqg</w:t>
            </w:r>
            <w:r>
              <w:rPr>
                <w:rFonts w:hint="default" w:ascii="Times New Roman" w:hAnsi="Times New Roman" w:cs="Times New Roman"/>
                <w:kern w:val="0"/>
                <w:sz w:val="24"/>
              </w:rPr>
              <w:t>－建设项目声源在预测点的等效声级贡献值，dB(A)；</w:t>
            </w:r>
          </w:p>
          <w:p>
            <w:pPr>
              <w:widowControl/>
              <w:spacing w:line="480" w:lineRule="exact"/>
              <w:ind w:firstLine="573"/>
              <w:rPr>
                <w:rFonts w:hint="default" w:ascii="Times New Roman" w:hAnsi="Times New Roman" w:cs="Times New Roman"/>
                <w:kern w:val="0"/>
                <w:sz w:val="24"/>
              </w:rPr>
            </w:pPr>
            <w:r>
              <w:rPr>
                <w:rFonts w:hint="default" w:ascii="Times New Roman" w:hAnsi="Times New Roman" w:cs="Times New Roman"/>
                <w:kern w:val="0"/>
                <w:sz w:val="24"/>
              </w:rPr>
              <w:t xml:space="preserve">       </w:t>
            </w:r>
            <w:r>
              <w:rPr>
                <w:rFonts w:hint="default" w:ascii="Times New Roman" w:hAnsi="Times New Roman" w:cs="Times New Roman"/>
                <w:i/>
                <w:iCs/>
                <w:kern w:val="0"/>
                <w:sz w:val="24"/>
              </w:rPr>
              <w:t>L</w:t>
            </w:r>
            <w:r>
              <w:rPr>
                <w:rFonts w:hint="default" w:ascii="Times New Roman" w:hAnsi="Times New Roman" w:cs="Times New Roman"/>
                <w:i/>
                <w:iCs/>
                <w:kern w:val="0"/>
                <w:sz w:val="24"/>
                <w:vertAlign w:val="subscript"/>
              </w:rPr>
              <w:t>Ai</w:t>
            </w:r>
            <w:r>
              <w:rPr>
                <w:rFonts w:hint="default" w:ascii="Times New Roman" w:hAnsi="Times New Roman" w:cs="Times New Roman"/>
                <w:kern w:val="0"/>
                <w:sz w:val="24"/>
              </w:rPr>
              <w:t>－第</w:t>
            </w:r>
            <w:r>
              <w:rPr>
                <w:rFonts w:hint="default" w:ascii="Times New Roman" w:hAnsi="Times New Roman" w:cs="Times New Roman"/>
                <w:i/>
                <w:kern w:val="0"/>
                <w:sz w:val="24"/>
              </w:rPr>
              <w:t>i</w:t>
            </w:r>
            <w:r>
              <w:rPr>
                <w:rFonts w:hint="default" w:ascii="Times New Roman" w:hAnsi="Times New Roman" w:cs="Times New Roman"/>
                <w:kern w:val="0"/>
                <w:sz w:val="24"/>
              </w:rPr>
              <w:t>个声源对预测点产生的A声级，dB(A)；</w:t>
            </w:r>
          </w:p>
          <w:p>
            <w:pPr>
              <w:widowControl/>
              <w:spacing w:line="480" w:lineRule="exact"/>
              <w:ind w:firstLine="573"/>
              <w:rPr>
                <w:rFonts w:hint="default" w:ascii="Times New Roman" w:hAnsi="Times New Roman" w:cs="Times New Roman"/>
                <w:i/>
                <w:kern w:val="0"/>
                <w:sz w:val="24"/>
              </w:rPr>
            </w:pPr>
            <w:r>
              <w:rPr>
                <w:rFonts w:hint="default" w:ascii="Times New Roman" w:hAnsi="Times New Roman" w:cs="Times New Roman"/>
                <w:kern w:val="0"/>
                <w:sz w:val="24"/>
              </w:rPr>
              <w:t xml:space="preserve">     </w:t>
            </w:r>
            <w:r>
              <w:rPr>
                <w:rFonts w:hint="default" w:ascii="Times New Roman" w:hAnsi="Times New Roman" w:cs="Times New Roman"/>
                <w:i/>
                <w:kern w:val="0"/>
                <w:sz w:val="24"/>
              </w:rPr>
              <w:t xml:space="preserve">  T</w:t>
            </w:r>
            <w:r>
              <w:rPr>
                <w:rFonts w:hint="default" w:ascii="Times New Roman" w:hAnsi="Times New Roman" w:cs="Times New Roman"/>
                <w:kern w:val="0"/>
                <w:sz w:val="24"/>
              </w:rPr>
              <w:t>－预测计算的时间段，s；</w:t>
            </w:r>
          </w:p>
          <w:p>
            <w:pPr>
              <w:widowControl/>
              <w:spacing w:line="480" w:lineRule="exact"/>
              <w:ind w:firstLine="573"/>
              <w:rPr>
                <w:rFonts w:hint="default" w:ascii="Times New Roman" w:hAnsi="Times New Roman" w:cs="Times New Roman"/>
                <w:kern w:val="0"/>
                <w:sz w:val="24"/>
              </w:rPr>
            </w:pPr>
            <w:r>
              <w:rPr>
                <w:rFonts w:hint="default" w:ascii="Times New Roman" w:hAnsi="Times New Roman" w:cs="Times New Roman"/>
                <w:kern w:val="0"/>
                <w:sz w:val="24"/>
              </w:rPr>
              <w:t xml:space="preserve">       </w:t>
            </w:r>
            <w:r>
              <w:rPr>
                <w:rFonts w:hint="default" w:ascii="Times New Roman" w:hAnsi="Times New Roman" w:cs="Times New Roman"/>
                <w:i/>
                <w:iCs/>
                <w:kern w:val="0"/>
                <w:sz w:val="24"/>
              </w:rPr>
              <w:t>t</w:t>
            </w:r>
            <w:r>
              <w:rPr>
                <w:rFonts w:hint="default" w:ascii="Times New Roman" w:hAnsi="Times New Roman" w:cs="Times New Roman"/>
                <w:i/>
                <w:iCs/>
                <w:kern w:val="0"/>
                <w:sz w:val="24"/>
                <w:vertAlign w:val="subscript"/>
              </w:rPr>
              <w:t>i</w:t>
            </w:r>
            <w:r>
              <w:rPr>
                <w:rFonts w:hint="default" w:ascii="Times New Roman" w:hAnsi="Times New Roman" w:cs="Times New Roman"/>
                <w:kern w:val="0"/>
                <w:sz w:val="24"/>
              </w:rPr>
              <w:t>－</w:t>
            </w:r>
            <w:r>
              <w:rPr>
                <w:rFonts w:hint="default" w:ascii="Times New Roman" w:hAnsi="Times New Roman" w:cs="Times New Roman"/>
                <w:i/>
                <w:kern w:val="0"/>
                <w:sz w:val="24"/>
              </w:rPr>
              <w:t>i</w:t>
            </w:r>
            <w:r>
              <w:rPr>
                <w:rFonts w:hint="default" w:ascii="Times New Roman" w:hAnsi="Times New Roman" w:cs="Times New Roman"/>
                <w:kern w:val="0"/>
                <w:sz w:val="24"/>
              </w:rPr>
              <w:t>个声源在T时段内的运行时间，s。</w:t>
            </w:r>
          </w:p>
          <w:p>
            <w:pPr>
              <w:widowControl/>
              <w:autoSpaceDN w:val="0"/>
              <w:spacing w:line="48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声衰减预测公式：</w:t>
            </w:r>
          </w:p>
          <w:p>
            <w:pPr>
              <w:widowControl/>
              <w:spacing w:line="480" w:lineRule="exact"/>
              <w:ind w:firstLine="1728" w:firstLineChars="720"/>
              <w:rPr>
                <w:rFonts w:hint="default" w:ascii="Times New Roman" w:hAnsi="Times New Roman" w:cs="Times New Roman"/>
                <w:i/>
                <w:iCs/>
                <w:kern w:val="0"/>
                <w:sz w:val="24"/>
              </w:rPr>
            </w:pPr>
            <w:r>
              <w:rPr>
                <w:rFonts w:hint="default" w:ascii="Times New Roman" w:hAnsi="Times New Roman" w:cs="Times New Roman"/>
                <w:i/>
                <w:iCs/>
                <w:kern w:val="0"/>
                <w:sz w:val="24"/>
              </w:rPr>
              <w:t>L</w:t>
            </w:r>
            <w:r>
              <w:rPr>
                <w:rFonts w:hint="default" w:ascii="Times New Roman" w:hAnsi="Times New Roman" w:cs="Times New Roman"/>
                <w:i/>
                <w:iCs/>
                <w:kern w:val="0"/>
                <w:sz w:val="24"/>
                <w:vertAlign w:val="subscript"/>
              </w:rPr>
              <w:t>p</w:t>
            </w:r>
            <w:r>
              <w:rPr>
                <w:rFonts w:hint="default" w:ascii="Times New Roman" w:hAnsi="Times New Roman" w:cs="Times New Roman"/>
                <w:iCs/>
                <w:kern w:val="0"/>
                <w:sz w:val="24"/>
              </w:rPr>
              <w:t>（</w:t>
            </w:r>
            <w:r>
              <w:rPr>
                <w:rFonts w:hint="default" w:ascii="Times New Roman" w:hAnsi="Times New Roman" w:cs="Times New Roman"/>
                <w:i/>
                <w:iCs/>
                <w:kern w:val="0"/>
                <w:sz w:val="24"/>
              </w:rPr>
              <w:t>r</w:t>
            </w:r>
            <w:r>
              <w:rPr>
                <w:rFonts w:hint="default" w:ascii="Times New Roman" w:hAnsi="Times New Roman" w:cs="Times New Roman"/>
                <w:iCs/>
                <w:kern w:val="0"/>
                <w:sz w:val="24"/>
              </w:rPr>
              <w:t>）</w:t>
            </w:r>
            <w:r>
              <w:rPr>
                <w:rFonts w:hint="default" w:ascii="Times New Roman" w:hAnsi="Times New Roman" w:cs="Times New Roman"/>
                <w:i/>
                <w:iCs/>
                <w:kern w:val="0"/>
                <w:sz w:val="24"/>
              </w:rPr>
              <w:t>= L</w:t>
            </w:r>
            <w:r>
              <w:rPr>
                <w:rFonts w:hint="default" w:ascii="Times New Roman" w:hAnsi="Times New Roman" w:cs="Times New Roman"/>
                <w:i/>
                <w:iCs/>
                <w:kern w:val="0"/>
                <w:sz w:val="24"/>
                <w:vertAlign w:val="subscript"/>
              </w:rPr>
              <w:t>p</w:t>
            </w:r>
            <w:r>
              <w:rPr>
                <w:rFonts w:hint="default" w:ascii="Times New Roman" w:hAnsi="Times New Roman" w:cs="Times New Roman"/>
                <w:iCs/>
                <w:kern w:val="0"/>
                <w:sz w:val="24"/>
              </w:rPr>
              <w:t>（</w:t>
            </w:r>
            <w:r>
              <w:rPr>
                <w:rFonts w:hint="default" w:ascii="Times New Roman" w:hAnsi="Times New Roman" w:cs="Times New Roman"/>
                <w:i/>
                <w:iCs/>
                <w:kern w:val="0"/>
                <w:sz w:val="24"/>
              </w:rPr>
              <w:t>r</w:t>
            </w:r>
            <w:r>
              <w:rPr>
                <w:rFonts w:hint="default" w:ascii="Times New Roman" w:hAnsi="Times New Roman" w:cs="Times New Roman"/>
                <w:i/>
                <w:iCs/>
                <w:kern w:val="0"/>
                <w:sz w:val="24"/>
                <w:vertAlign w:val="subscript"/>
              </w:rPr>
              <w:t>0</w:t>
            </w:r>
            <w:r>
              <w:rPr>
                <w:rFonts w:hint="default" w:ascii="Times New Roman" w:hAnsi="Times New Roman" w:cs="Times New Roman"/>
                <w:iCs/>
                <w:kern w:val="0"/>
                <w:sz w:val="24"/>
              </w:rPr>
              <w:t>）</w:t>
            </w:r>
            <w:r>
              <w:rPr>
                <w:rFonts w:hint="default" w:ascii="Times New Roman" w:hAnsi="Times New Roman" w:cs="Times New Roman"/>
                <w:i/>
                <w:iCs/>
                <w:kern w:val="0"/>
                <w:sz w:val="24"/>
              </w:rPr>
              <w:t>-20log</w:t>
            </w:r>
            <w:r>
              <w:rPr>
                <w:rFonts w:hint="default" w:ascii="Times New Roman" w:hAnsi="Times New Roman" w:cs="Times New Roman"/>
                <w:iCs/>
                <w:kern w:val="0"/>
                <w:sz w:val="24"/>
              </w:rPr>
              <w:t>（</w:t>
            </w:r>
            <w:r>
              <w:rPr>
                <w:rFonts w:hint="default" w:ascii="Times New Roman" w:hAnsi="Times New Roman" w:cs="Times New Roman"/>
                <w:i/>
                <w:iCs/>
                <w:kern w:val="0"/>
                <w:sz w:val="24"/>
              </w:rPr>
              <w:t>r/r</w:t>
            </w:r>
            <w:r>
              <w:rPr>
                <w:rFonts w:hint="default" w:ascii="Times New Roman" w:hAnsi="Times New Roman" w:cs="Times New Roman"/>
                <w:i/>
                <w:iCs/>
                <w:kern w:val="0"/>
                <w:sz w:val="24"/>
                <w:vertAlign w:val="subscript"/>
              </w:rPr>
              <w:t>0</w:t>
            </w:r>
            <w:r>
              <w:rPr>
                <w:rFonts w:hint="default" w:ascii="Times New Roman" w:hAnsi="Times New Roman" w:cs="Times New Roman"/>
                <w:iCs/>
                <w:kern w:val="0"/>
                <w:sz w:val="24"/>
              </w:rPr>
              <w:t xml:space="preserve">） </w:t>
            </w:r>
            <w:r>
              <w:rPr>
                <w:rFonts w:hint="default" w:ascii="Times New Roman" w:hAnsi="Times New Roman" w:cs="Times New Roman"/>
                <w:i/>
                <w:iCs/>
                <w:kern w:val="0"/>
                <w:sz w:val="24"/>
              </w:rPr>
              <w:t xml:space="preserve">                      </w:t>
            </w:r>
            <w:r>
              <w:rPr>
                <w:rFonts w:hint="default" w:ascii="Times New Roman" w:hAnsi="Times New Roman" w:cs="Times New Roman"/>
                <w:kern w:val="0"/>
                <w:sz w:val="24"/>
              </w:rPr>
              <w:t xml:space="preserve"> </w:t>
            </w:r>
          </w:p>
          <w:p>
            <w:pPr>
              <w:widowControl/>
              <w:spacing w:line="480" w:lineRule="exact"/>
              <w:ind w:firstLine="573" w:firstLineChars="239"/>
              <w:rPr>
                <w:rFonts w:hint="default" w:ascii="Times New Roman" w:hAnsi="Times New Roman" w:cs="Times New Roman"/>
                <w:kern w:val="0"/>
                <w:sz w:val="24"/>
              </w:rPr>
            </w:pPr>
            <w:r>
              <w:rPr>
                <w:rFonts w:hint="default" w:ascii="Times New Roman" w:hAnsi="Times New Roman" w:cs="Times New Roman"/>
                <w:kern w:val="0"/>
                <w:sz w:val="24"/>
              </w:rPr>
              <w:t xml:space="preserve">式中： </w:t>
            </w:r>
            <w:r>
              <w:rPr>
                <w:rFonts w:hint="default" w:ascii="Times New Roman" w:hAnsi="Times New Roman" w:cs="Times New Roman"/>
                <w:i/>
                <w:iCs/>
                <w:kern w:val="0"/>
                <w:sz w:val="24"/>
              </w:rPr>
              <w:t>L</w:t>
            </w:r>
            <w:r>
              <w:rPr>
                <w:rFonts w:hint="default" w:ascii="Times New Roman" w:hAnsi="Times New Roman" w:cs="Times New Roman"/>
                <w:i/>
                <w:iCs/>
                <w:kern w:val="0"/>
                <w:sz w:val="24"/>
                <w:vertAlign w:val="subscript"/>
              </w:rPr>
              <w:t>p</w:t>
            </w:r>
            <w:r>
              <w:rPr>
                <w:rFonts w:hint="default" w:ascii="Times New Roman" w:hAnsi="Times New Roman" w:cs="Times New Roman"/>
                <w:iCs/>
                <w:kern w:val="0"/>
                <w:sz w:val="24"/>
              </w:rPr>
              <w:t>（</w:t>
            </w:r>
            <w:r>
              <w:rPr>
                <w:rFonts w:hint="default" w:ascii="Times New Roman" w:hAnsi="Times New Roman" w:cs="Times New Roman"/>
                <w:i/>
                <w:iCs/>
                <w:kern w:val="0"/>
                <w:sz w:val="24"/>
              </w:rPr>
              <w:t>r</w:t>
            </w:r>
            <w:r>
              <w:rPr>
                <w:rFonts w:hint="default" w:ascii="Times New Roman" w:hAnsi="Times New Roman" w:cs="Times New Roman"/>
                <w:iCs/>
                <w:kern w:val="0"/>
                <w:sz w:val="24"/>
              </w:rPr>
              <w:t>）</w:t>
            </w:r>
            <w:r>
              <w:rPr>
                <w:rFonts w:hint="default" w:ascii="Times New Roman" w:hAnsi="Times New Roman" w:cs="Times New Roman"/>
                <w:kern w:val="0"/>
                <w:sz w:val="24"/>
              </w:rPr>
              <w:t>—距噪声源距离为</w:t>
            </w:r>
            <w:r>
              <w:rPr>
                <w:rFonts w:hint="default" w:ascii="Times New Roman" w:hAnsi="Times New Roman" w:cs="Times New Roman"/>
                <w:i/>
                <w:iCs/>
                <w:kern w:val="0"/>
                <w:sz w:val="24"/>
              </w:rPr>
              <w:t>r</w:t>
            </w:r>
            <w:r>
              <w:rPr>
                <w:rFonts w:hint="default" w:ascii="Times New Roman" w:hAnsi="Times New Roman" w:cs="Times New Roman"/>
                <w:kern w:val="0"/>
                <w:sz w:val="24"/>
              </w:rPr>
              <w:t>处等效A声级值，dB(A)；</w:t>
            </w:r>
          </w:p>
          <w:p>
            <w:pPr>
              <w:widowControl/>
              <w:spacing w:line="480" w:lineRule="exact"/>
              <w:rPr>
                <w:rFonts w:hint="default" w:ascii="Times New Roman" w:hAnsi="Times New Roman" w:cs="Times New Roman"/>
                <w:kern w:val="0"/>
                <w:sz w:val="24"/>
              </w:rPr>
            </w:pPr>
            <w:r>
              <w:rPr>
                <w:rFonts w:hint="default" w:ascii="Times New Roman" w:hAnsi="Times New Roman" w:cs="Times New Roman"/>
                <w:kern w:val="0"/>
                <w:sz w:val="24"/>
              </w:rPr>
              <w:t xml:space="preserve">            </w:t>
            </w:r>
            <w:r>
              <w:rPr>
                <w:rFonts w:hint="default" w:ascii="Times New Roman" w:hAnsi="Times New Roman" w:cs="Times New Roman"/>
                <w:i/>
                <w:iCs/>
                <w:kern w:val="0"/>
                <w:sz w:val="24"/>
              </w:rPr>
              <w:t>L</w:t>
            </w:r>
            <w:r>
              <w:rPr>
                <w:rFonts w:hint="default" w:ascii="Times New Roman" w:hAnsi="Times New Roman" w:cs="Times New Roman"/>
                <w:i/>
                <w:iCs/>
                <w:kern w:val="0"/>
                <w:sz w:val="24"/>
                <w:vertAlign w:val="subscript"/>
              </w:rPr>
              <w:t>p</w:t>
            </w:r>
            <w:r>
              <w:rPr>
                <w:rFonts w:hint="default" w:ascii="Times New Roman" w:hAnsi="Times New Roman" w:cs="Times New Roman"/>
                <w:iCs/>
                <w:kern w:val="0"/>
                <w:sz w:val="24"/>
              </w:rPr>
              <w:t>（</w:t>
            </w:r>
            <w:r>
              <w:rPr>
                <w:rFonts w:hint="default" w:ascii="Times New Roman" w:hAnsi="Times New Roman" w:cs="Times New Roman"/>
                <w:i/>
                <w:iCs/>
                <w:kern w:val="0"/>
                <w:sz w:val="24"/>
              </w:rPr>
              <w:t>r</w:t>
            </w:r>
            <w:r>
              <w:rPr>
                <w:rFonts w:hint="default" w:ascii="Times New Roman" w:hAnsi="Times New Roman" w:cs="Times New Roman"/>
                <w:i/>
                <w:iCs/>
                <w:kern w:val="0"/>
                <w:sz w:val="24"/>
                <w:vertAlign w:val="subscript"/>
              </w:rPr>
              <w:t>0</w:t>
            </w:r>
            <w:r>
              <w:rPr>
                <w:rFonts w:hint="default" w:ascii="Times New Roman" w:hAnsi="Times New Roman" w:cs="Times New Roman"/>
                <w:iCs/>
                <w:kern w:val="0"/>
                <w:sz w:val="24"/>
              </w:rPr>
              <w:t>）</w:t>
            </w:r>
            <w:r>
              <w:rPr>
                <w:rFonts w:hint="default" w:ascii="Times New Roman" w:hAnsi="Times New Roman" w:cs="Times New Roman"/>
                <w:kern w:val="0"/>
                <w:sz w:val="24"/>
              </w:rPr>
              <w:t>—距噪声源距离为</w:t>
            </w:r>
            <w:r>
              <w:rPr>
                <w:rFonts w:hint="default" w:ascii="Times New Roman" w:hAnsi="Times New Roman" w:cs="Times New Roman"/>
                <w:i/>
                <w:iCs/>
                <w:kern w:val="0"/>
                <w:sz w:val="24"/>
              </w:rPr>
              <w:t>r</w:t>
            </w:r>
            <w:r>
              <w:rPr>
                <w:rFonts w:hint="default" w:ascii="Times New Roman" w:hAnsi="Times New Roman" w:cs="Times New Roman"/>
                <w:i/>
                <w:iCs/>
                <w:kern w:val="0"/>
                <w:sz w:val="24"/>
                <w:vertAlign w:val="subscript"/>
              </w:rPr>
              <w:t>0</w:t>
            </w:r>
            <w:r>
              <w:rPr>
                <w:rFonts w:hint="default" w:ascii="Times New Roman" w:hAnsi="Times New Roman" w:cs="Times New Roman"/>
                <w:kern w:val="0"/>
                <w:sz w:val="24"/>
              </w:rPr>
              <w:t>处等效A声级值，dB(A)；</w:t>
            </w:r>
          </w:p>
          <w:p>
            <w:pPr>
              <w:widowControl/>
              <w:spacing w:line="480" w:lineRule="exact"/>
              <w:rPr>
                <w:rFonts w:hint="default" w:ascii="Times New Roman" w:hAnsi="Times New Roman" w:cs="Times New Roman"/>
                <w:kern w:val="0"/>
                <w:sz w:val="24"/>
              </w:rPr>
            </w:pPr>
            <w:r>
              <w:rPr>
                <w:rFonts w:hint="default" w:ascii="Times New Roman" w:hAnsi="Times New Roman" w:cs="Times New Roman"/>
                <w:kern w:val="0"/>
                <w:sz w:val="24"/>
              </w:rPr>
              <w:t xml:space="preserve">            </w:t>
            </w:r>
            <w:r>
              <w:rPr>
                <w:rFonts w:hint="default" w:ascii="Times New Roman" w:hAnsi="Times New Roman" w:cs="Times New Roman"/>
                <w:i/>
                <w:iCs/>
                <w:kern w:val="0"/>
                <w:sz w:val="24"/>
              </w:rPr>
              <w:t>r</w:t>
            </w:r>
            <w:r>
              <w:rPr>
                <w:rFonts w:hint="default" w:ascii="Times New Roman" w:hAnsi="Times New Roman" w:cs="Times New Roman"/>
                <w:kern w:val="0"/>
                <w:sz w:val="24"/>
              </w:rPr>
              <w:t>—关心点距噪声源距离，m；</w:t>
            </w:r>
          </w:p>
          <w:p>
            <w:pPr>
              <w:widowControl/>
              <w:spacing w:line="480" w:lineRule="exact"/>
              <w:ind w:firstLine="1080"/>
              <w:rPr>
                <w:rFonts w:hint="default" w:ascii="Times New Roman" w:hAnsi="Times New Roman" w:cs="Times New Roman"/>
                <w:kern w:val="0"/>
                <w:sz w:val="24"/>
              </w:rPr>
            </w:pPr>
            <w:r>
              <w:rPr>
                <w:rFonts w:hint="default" w:ascii="Times New Roman" w:hAnsi="Times New Roman" w:cs="Times New Roman"/>
                <w:kern w:val="0"/>
                <w:sz w:val="24"/>
              </w:rPr>
              <w:t xml:space="preserve">   </w:t>
            </w:r>
            <w:r>
              <w:rPr>
                <w:rFonts w:hint="default" w:ascii="Times New Roman" w:hAnsi="Times New Roman" w:cs="Times New Roman"/>
                <w:i/>
                <w:iCs/>
                <w:kern w:val="0"/>
                <w:sz w:val="24"/>
              </w:rPr>
              <w:t>r</w:t>
            </w:r>
            <w:r>
              <w:rPr>
                <w:rFonts w:hint="default" w:ascii="Times New Roman" w:hAnsi="Times New Roman" w:cs="Times New Roman"/>
                <w:i/>
                <w:iCs/>
                <w:kern w:val="0"/>
                <w:sz w:val="24"/>
                <w:vertAlign w:val="subscript"/>
              </w:rPr>
              <w:t>0</w:t>
            </w:r>
            <w:r>
              <w:rPr>
                <w:rFonts w:hint="default" w:ascii="Times New Roman" w:hAnsi="Times New Roman" w:cs="Times New Roman"/>
                <w:kern w:val="0"/>
                <w:sz w:val="24"/>
              </w:rPr>
              <w:t>—距噪声源距离，以1m计。</w:t>
            </w:r>
          </w:p>
          <w:p>
            <w:pPr>
              <w:tabs>
                <w:tab w:val="left" w:pos="624"/>
              </w:tabs>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预测点的预测等效声级公式：</w:t>
            </w:r>
          </w:p>
          <w:p>
            <w:pPr>
              <w:tabs>
                <w:tab w:val="left" w:pos="624"/>
              </w:tabs>
              <w:spacing w:line="480" w:lineRule="exact"/>
              <w:ind w:firstLine="2753" w:firstLineChars="1311"/>
              <w:jc w:val="left"/>
              <w:rPr>
                <w:rFonts w:hint="default" w:ascii="Times New Roman" w:hAnsi="Times New Roman" w:cs="Times New Roman"/>
                <w:sz w:val="24"/>
              </w:rPr>
            </w:pPr>
            <w:r>
              <w:rPr>
                <w:rFonts w:hint="default" w:ascii="Times New Roman" w:hAnsi="Times New Roman" w:eastAsia="宋体" w:cs="Times New Roman"/>
                <w:kern w:val="2"/>
                <w:position w:val="-14"/>
                <w:sz w:val="21"/>
                <w:szCs w:val="24"/>
                <w:lang w:val="en-US" w:eastAsia="zh-CN" w:bidi="ar-SA"/>
              </w:rPr>
              <w:object>
                <v:shape id="_x0000_i1027" o:spt="75" type="#_x0000_t75" style="height:22.5pt;width:154.5pt;" o:ole="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o:OLEObject Type="Embed" ProgID="" ShapeID="_x0000_i1027" DrawAspect="Content" ObjectID="_1468075726" r:id="rId9">
                  <o:LockedField>false</o:LockedField>
                </o:OLEObject>
              </w:object>
            </w:r>
          </w:p>
          <w:p>
            <w:pPr>
              <w:tabs>
                <w:tab w:val="left" w:pos="624"/>
              </w:tabs>
              <w:spacing w:line="48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式中：</w:t>
            </w:r>
            <w:r>
              <w:rPr>
                <w:rFonts w:hint="default" w:ascii="Times New Roman" w:hAnsi="Times New Roman" w:cs="Times New Roman"/>
                <w:i/>
                <w:sz w:val="24"/>
              </w:rPr>
              <w:t>L</w:t>
            </w:r>
            <w:r>
              <w:rPr>
                <w:rFonts w:hint="default" w:ascii="Times New Roman" w:hAnsi="Times New Roman" w:cs="Times New Roman"/>
                <w:i/>
                <w:sz w:val="24"/>
                <w:vertAlign w:val="subscript"/>
              </w:rPr>
              <w:t>eqg</w:t>
            </w:r>
            <w:r>
              <w:rPr>
                <w:rFonts w:hint="default" w:ascii="Times New Roman" w:hAnsi="Times New Roman" w:cs="Times New Roman"/>
                <w:sz w:val="24"/>
              </w:rPr>
              <w:t>—建设项目在预测点的等效声级贡献值，</w:t>
            </w:r>
            <w:r>
              <w:rPr>
                <w:rFonts w:hint="default" w:ascii="Times New Roman" w:hAnsi="Times New Roman" w:cs="Times New Roman"/>
                <w:kern w:val="0"/>
                <w:sz w:val="24"/>
              </w:rPr>
              <w:t>dB(A)</w:t>
            </w:r>
            <w:r>
              <w:rPr>
                <w:rFonts w:hint="default" w:ascii="Times New Roman" w:hAnsi="Times New Roman" w:cs="Times New Roman"/>
                <w:sz w:val="24"/>
              </w:rPr>
              <w:t xml:space="preserve">； </w:t>
            </w:r>
          </w:p>
          <w:p>
            <w:pPr>
              <w:tabs>
                <w:tab w:val="left" w:pos="624"/>
              </w:tabs>
              <w:spacing w:line="360" w:lineRule="auto"/>
              <w:ind w:firstLine="1168" w:firstLineChars="487"/>
              <w:rPr>
                <w:rFonts w:hint="default" w:ascii="Times New Roman" w:hAnsi="Times New Roman" w:cs="Times New Roman"/>
                <w:sz w:val="24"/>
              </w:rPr>
            </w:pPr>
            <w:r>
              <w:rPr>
                <w:rFonts w:hint="default" w:ascii="Times New Roman" w:hAnsi="Times New Roman" w:cs="Times New Roman"/>
                <w:i/>
                <w:sz w:val="24"/>
              </w:rPr>
              <w:t>L</w:t>
            </w:r>
            <w:r>
              <w:rPr>
                <w:rFonts w:hint="default" w:ascii="Times New Roman" w:hAnsi="Times New Roman" w:cs="Times New Roman"/>
                <w:i/>
                <w:sz w:val="24"/>
                <w:vertAlign w:val="subscript"/>
              </w:rPr>
              <w:t>eqb</w:t>
            </w:r>
            <w:r>
              <w:rPr>
                <w:rFonts w:hint="default" w:ascii="Times New Roman" w:hAnsi="Times New Roman" w:cs="Times New Roman"/>
                <w:sz w:val="24"/>
              </w:rPr>
              <w:t>—预测点背景值，</w:t>
            </w:r>
            <w:r>
              <w:rPr>
                <w:rFonts w:hint="default" w:ascii="Times New Roman" w:hAnsi="Times New Roman" w:cs="Times New Roman"/>
                <w:kern w:val="0"/>
                <w:sz w:val="24"/>
              </w:rPr>
              <w:t>dB(A)</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根据工程分析中项目设备噪声级及各生产设备的数量，利用噪声叠加公式计算得到车间生产噪声源强为</w:t>
            </w:r>
            <w:r>
              <w:rPr>
                <w:rFonts w:hint="eastAsia" w:ascii="Times New Roman" w:hAnsi="Times New Roman" w:cs="Times New Roman"/>
                <w:kern w:val="0"/>
                <w:sz w:val="24"/>
                <w:lang w:val="en-US" w:eastAsia="zh-CN"/>
              </w:rPr>
              <w:t>101.05</w:t>
            </w:r>
            <w:r>
              <w:rPr>
                <w:rFonts w:hint="default" w:ascii="Times New Roman" w:hAnsi="Times New Roman" w:cs="Times New Roman"/>
                <w:kern w:val="0"/>
                <w:sz w:val="24"/>
              </w:rPr>
              <w:t>dB（A)。</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由于生产设备均设置于生产车间或机房内，车间及机房结构均可起到一定隔声作用，一般降噪量在25dB（A)左右。经计算得到项目生产噪声随距离传播衰减的变化情况，详见下表。</w:t>
            </w:r>
          </w:p>
          <w:p>
            <w:pPr>
              <w:jc w:val="center"/>
              <w:rPr>
                <w:rFonts w:hint="default" w:ascii="Times New Roman" w:hAnsi="Times New Roman" w:cs="Times New Roman"/>
                <w:b/>
                <w:kern w:val="0"/>
                <w:szCs w:val="21"/>
              </w:rPr>
            </w:pPr>
            <w:r>
              <w:rPr>
                <w:rFonts w:hint="default" w:ascii="Times New Roman" w:hAnsi="Times New Roman" w:cs="Times New Roman"/>
                <w:b/>
                <w:kern w:val="0"/>
                <w:szCs w:val="21"/>
              </w:rPr>
              <w:t>表7-</w:t>
            </w:r>
            <w:r>
              <w:rPr>
                <w:rFonts w:hint="eastAsia" w:ascii="Times New Roman" w:hAnsi="Times New Roman" w:cs="Times New Roman"/>
                <w:b/>
                <w:kern w:val="0"/>
                <w:szCs w:val="21"/>
                <w:lang w:val="en-US" w:eastAsia="zh-CN"/>
              </w:rPr>
              <w:t>8</w:t>
            </w:r>
            <w:r>
              <w:rPr>
                <w:rFonts w:hint="default" w:ascii="Times New Roman" w:hAnsi="Times New Roman" w:cs="Times New Roman"/>
                <w:b/>
                <w:kern w:val="0"/>
                <w:szCs w:val="21"/>
              </w:rPr>
              <w:t xml:space="preserve">  厂界噪声排放值预测表 单位：dB（A）</w:t>
            </w:r>
          </w:p>
          <w:tbl>
            <w:tblPr>
              <w:tblStyle w:val="38"/>
              <w:tblW w:w="90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1"/>
              <w:gridCol w:w="1767"/>
              <w:gridCol w:w="1767"/>
              <w:gridCol w:w="1767"/>
              <w:gridCol w:w="17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exact"/>
              </w:trPr>
              <w:tc>
                <w:tcPr>
                  <w:tcW w:w="2001" w:type="dxa"/>
                  <w:vAlign w:val="center"/>
                </w:tcPr>
                <w:p>
                  <w:pPr>
                    <w:pStyle w:val="112"/>
                    <w:rPr>
                      <w:rFonts w:hint="default" w:ascii="Times New Roman" w:hAnsi="Times New Roman" w:cs="Times New Roman"/>
                      <w:kern w:val="2"/>
                    </w:rPr>
                  </w:pPr>
                  <w:r>
                    <w:rPr>
                      <w:rFonts w:hint="default" w:ascii="Times New Roman" w:hAnsi="Times New Roman" w:cs="Times New Roman"/>
                      <w:kern w:val="2"/>
                    </w:rPr>
                    <w:t>监测点</w:t>
                  </w:r>
                </w:p>
              </w:tc>
              <w:tc>
                <w:tcPr>
                  <w:tcW w:w="1767" w:type="dxa"/>
                  <w:vAlign w:val="center"/>
                </w:tcPr>
                <w:p>
                  <w:pPr>
                    <w:pStyle w:val="112"/>
                    <w:rPr>
                      <w:rFonts w:hint="default" w:ascii="Times New Roman" w:hAnsi="Times New Roman" w:cs="Times New Roman"/>
                      <w:kern w:val="2"/>
                    </w:rPr>
                  </w:pPr>
                  <w:r>
                    <w:rPr>
                      <w:rFonts w:hint="default" w:ascii="Times New Roman" w:hAnsi="Times New Roman" w:cs="Times New Roman"/>
                      <w:kern w:val="2"/>
                    </w:rPr>
                    <w:t>1#（厂界东侧）</w:t>
                  </w:r>
                </w:p>
              </w:tc>
              <w:tc>
                <w:tcPr>
                  <w:tcW w:w="1767" w:type="dxa"/>
                  <w:vAlign w:val="center"/>
                </w:tcPr>
                <w:p>
                  <w:pPr>
                    <w:pStyle w:val="112"/>
                    <w:rPr>
                      <w:rFonts w:hint="default" w:ascii="Times New Roman" w:hAnsi="Times New Roman" w:cs="Times New Roman"/>
                      <w:kern w:val="2"/>
                    </w:rPr>
                  </w:pPr>
                  <w:r>
                    <w:rPr>
                      <w:rFonts w:hint="default" w:ascii="Times New Roman" w:hAnsi="Times New Roman" w:cs="Times New Roman"/>
                      <w:kern w:val="2"/>
                    </w:rPr>
                    <w:t>2#（厂界南侧）</w:t>
                  </w:r>
                </w:p>
              </w:tc>
              <w:tc>
                <w:tcPr>
                  <w:tcW w:w="1767" w:type="dxa"/>
                  <w:vAlign w:val="center"/>
                </w:tcPr>
                <w:p>
                  <w:pPr>
                    <w:pStyle w:val="112"/>
                    <w:rPr>
                      <w:rFonts w:hint="default" w:ascii="Times New Roman" w:hAnsi="Times New Roman" w:cs="Times New Roman"/>
                      <w:kern w:val="2"/>
                    </w:rPr>
                  </w:pPr>
                  <w:r>
                    <w:rPr>
                      <w:rFonts w:hint="default" w:ascii="Times New Roman" w:hAnsi="Times New Roman" w:cs="Times New Roman"/>
                      <w:kern w:val="2"/>
                    </w:rPr>
                    <w:t>3#（厂界西侧）</w:t>
                  </w:r>
                </w:p>
              </w:tc>
              <w:tc>
                <w:tcPr>
                  <w:tcW w:w="1762" w:type="dxa"/>
                  <w:vAlign w:val="center"/>
                </w:tcPr>
                <w:p>
                  <w:pPr>
                    <w:pStyle w:val="112"/>
                    <w:rPr>
                      <w:rFonts w:hint="default" w:ascii="Times New Roman" w:hAnsi="Times New Roman" w:cs="Times New Roman"/>
                      <w:kern w:val="2"/>
                    </w:rPr>
                  </w:pPr>
                  <w:r>
                    <w:rPr>
                      <w:rFonts w:hint="default" w:ascii="Times New Roman" w:hAnsi="Times New Roman" w:cs="Times New Roman"/>
                      <w:kern w:val="2"/>
                    </w:rPr>
                    <w:t>4#（厂界北侧）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exact"/>
              </w:trPr>
              <w:tc>
                <w:tcPr>
                  <w:tcW w:w="2001" w:type="dxa"/>
                  <w:vAlign w:val="center"/>
                </w:tcPr>
                <w:p>
                  <w:pPr>
                    <w:pStyle w:val="112"/>
                    <w:rPr>
                      <w:rFonts w:hint="default" w:ascii="Times New Roman" w:hAnsi="Times New Roman" w:cs="Times New Roman"/>
                      <w:kern w:val="2"/>
                    </w:rPr>
                  </w:pPr>
                  <w:r>
                    <w:rPr>
                      <w:rFonts w:hint="default" w:ascii="Times New Roman" w:hAnsi="Times New Roman" w:cs="Times New Roman"/>
                      <w:kern w:val="2"/>
                    </w:rPr>
                    <w:t>贡献值</w:t>
                  </w:r>
                </w:p>
              </w:tc>
              <w:tc>
                <w:tcPr>
                  <w:tcW w:w="1767" w:type="dxa"/>
                  <w:vAlign w:val="center"/>
                </w:tcPr>
                <w:p>
                  <w:pPr>
                    <w:pStyle w:val="112"/>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46.51</w:t>
                  </w:r>
                </w:p>
              </w:tc>
              <w:tc>
                <w:tcPr>
                  <w:tcW w:w="1767" w:type="dxa"/>
                  <w:vAlign w:val="center"/>
                </w:tcPr>
                <w:p>
                  <w:pPr>
                    <w:pStyle w:val="112"/>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50.05</w:t>
                  </w:r>
                </w:p>
              </w:tc>
              <w:tc>
                <w:tcPr>
                  <w:tcW w:w="1767" w:type="dxa"/>
                  <w:vAlign w:val="center"/>
                </w:tcPr>
                <w:p>
                  <w:pPr>
                    <w:pStyle w:val="112"/>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48.09</w:t>
                  </w:r>
                </w:p>
              </w:tc>
              <w:tc>
                <w:tcPr>
                  <w:tcW w:w="1762" w:type="dxa"/>
                  <w:vAlign w:val="center"/>
                </w:tcPr>
                <w:p>
                  <w:pPr>
                    <w:pStyle w:val="112"/>
                    <w:rPr>
                      <w:rFonts w:hint="default" w:ascii="Times New Roman" w:hAnsi="Times New Roman" w:cs="Times New Roman"/>
                      <w:kern w:val="2"/>
                    </w:rPr>
                  </w:pPr>
                  <w:r>
                    <w:rPr>
                      <w:rFonts w:hint="eastAsia" w:ascii="Times New Roman" w:hAnsi="Times New Roman" w:cs="Times New Roman"/>
                      <w:kern w:val="2"/>
                      <w:lang w:val="en-US" w:eastAsia="zh-CN"/>
                    </w:rPr>
                    <w:t>56.05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exact"/>
              </w:trPr>
              <w:tc>
                <w:tcPr>
                  <w:tcW w:w="2001" w:type="dxa"/>
                  <w:vAlign w:val="center"/>
                </w:tcPr>
                <w:p>
                  <w:pPr>
                    <w:pStyle w:val="112"/>
                    <w:jc w:val="center"/>
                    <w:rPr>
                      <w:rFonts w:hint="default" w:ascii="Times New Roman" w:hAnsi="Times New Roman" w:cs="Times New Roman"/>
                      <w:kern w:val="2"/>
                    </w:rPr>
                  </w:pPr>
                  <w:r>
                    <w:rPr>
                      <w:rFonts w:hint="default" w:ascii="Times New Roman" w:hAnsi="Times New Roman" w:cs="Times New Roman"/>
                      <w:kern w:val="2"/>
                    </w:rPr>
                    <w:t>标准值</w:t>
                  </w:r>
                </w:p>
              </w:tc>
              <w:tc>
                <w:tcPr>
                  <w:tcW w:w="1767" w:type="dxa"/>
                  <w:vAlign w:val="center"/>
                </w:tcPr>
                <w:p>
                  <w:pPr>
                    <w:jc w:val="center"/>
                    <w:rPr>
                      <w:rFonts w:hint="default" w:ascii="Times New Roman" w:hAnsi="Times New Roman" w:cs="Times New Roman"/>
                      <w:kern w:val="2"/>
                    </w:rPr>
                  </w:pPr>
                  <w:r>
                    <w:rPr>
                      <w:rFonts w:hint="default" w:ascii="Times New Roman" w:hAnsi="Times New Roman" w:cs="Times New Roman"/>
                    </w:rPr>
                    <w:t>6</w:t>
                  </w:r>
                  <w:r>
                    <w:rPr>
                      <w:rFonts w:hint="eastAsia" w:ascii="Times New Roman" w:hAnsi="Times New Roman" w:cs="Times New Roman"/>
                      <w:lang w:val="en-US" w:eastAsia="zh-CN"/>
                    </w:rPr>
                    <w:t>0</w:t>
                  </w:r>
                  <w:r>
                    <w:rPr>
                      <w:rFonts w:hint="default" w:ascii="Times New Roman" w:hAnsi="Times New Roman" w:cs="Times New Roman"/>
                    </w:rPr>
                    <w:t>/5</w:t>
                  </w:r>
                  <w:r>
                    <w:rPr>
                      <w:rFonts w:hint="eastAsia" w:ascii="Times New Roman" w:hAnsi="Times New Roman" w:cs="Times New Roman"/>
                      <w:lang w:val="en-US" w:eastAsia="zh-CN"/>
                    </w:rPr>
                    <w:t>0</w:t>
                  </w:r>
                </w:p>
              </w:tc>
              <w:tc>
                <w:tcPr>
                  <w:tcW w:w="1767" w:type="dxa"/>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6</w:t>
                  </w:r>
                  <w:r>
                    <w:rPr>
                      <w:rFonts w:hint="eastAsia" w:ascii="Times New Roman" w:hAnsi="Times New Roman" w:cs="Times New Roman"/>
                      <w:lang w:val="en-US" w:eastAsia="zh-CN"/>
                    </w:rPr>
                    <w:t>0</w:t>
                  </w:r>
                  <w:r>
                    <w:rPr>
                      <w:rFonts w:hint="default" w:ascii="Times New Roman" w:hAnsi="Times New Roman" w:cs="Times New Roman"/>
                    </w:rPr>
                    <w:t>/5</w:t>
                  </w:r>
                  <w:r>
                    <w:rPr>
                      <w:rFonts w:hint="eastAsia" w:ascii="Times New Roman" w:hAnsi="Times New Roman" w:cs="Times New Roman"/>
                      <w:lang w:val="en-US" w:eastAsia="zh-CN"/>
                    </w:rPr>
                    <w:t>0</w:t>
                  </w:r>
                </w:p>
              </w:tc>
              <w:tc>
                <w:tcPr>
                  <w:tcW w:w="1767" w:type="dxa"/>
                  <w:vAlign w:val="center"/>
                </w:tcPr>
                <w:p>
                  <w:pPr>
                    <w:jc w:val="center"/>
                    <w:rPr>
                      <w:rFonts w:hint="default" w:ascii="Times New Roman" w:hAnsi="Times New Roman" w:cs="Times New Roman"/>
                    </w:rPr>
                  </w:pPr>
                  <w:r>
                    <w:rPr>
                      <w:rFonts w:hint="default" w:ascii="Times New Roman" w:hAnsi="Times New Roman" w:cs="Times New Roman"/>
                    </w:rPr>
                    <w:t>6</w:t>
                  </w:r>
                  <w:r>
                    <w:rPr>
                      <w:rFonts w:hint="eastAsia" w:ascii="Times New Roman" w:hAnsi="Times New Roman" w:cs="Times New Roman"/>
                      <w:lang w:val="en-US" w:eastAsia="zh-CN"/>
                    </w:rPr>
                    <w:t>0</w:t>
                  </w:r>
                  <w:r>
                    <w:rPr>
                      <w:rFonts w:hint="default" w:ascii="Times New Roman" w:hAnsi="Times New Roman" w:cs="Times New Roman"/>
                    </w:rPr>
                    <w:t>/5</w:t>
                  </w:r>
                  <w:r>
                    <w:rPr>
                      <w:rFonts w:hint="eastAsia" w:ascii="Times New Roman" w:hAnsi="Times New Roman" w:cs="Times New Roman"/>
                      <w:lang w:val="en-US" w:eastAsia="zh-CN"/>
                    </w:rPr>
                    <w:t>0</w:t>
                  </w:r>
                </w:p>
              </w:tc>
              <w:tc>
                <w:tcPr>
                  <w:tcW w:w="1762" w:type="dxa"/>
                  <w:vAlign w:val="center"/>
                </w:tcPr>
                <w:p>
                  <w:pPr>
                    <w:jc w:val="center"/>
                    <w:rPr>
                      <w:rFonts w:hint="default" w:ascii="Times New Roman" w:hAnsi="Times New Roman" w:cs="Times New Roman"/>
                    </w:rPr>
                  </w:pPr>
                  <w:r>
                    <w:rPr>
                      <w:rFonts w:hint="default" w:ascii="Times New Roman" w:hAnsi="Times New Roman" w:cs="Times New Roman"/>
                    </w:rPr>
                    <w:t>6</w:t>
                  </w:r>
                  <w:r>
                    <w:rPr>
                      <w:rFonts w:hint="eastAsia" w:ascii="Times New Roman" w:hAnsi="Times New Roman" w:cs="Times New Roman"/>
                      <w:lang w:val="en-US" w:eastAsia="zh-CN"/>
                    </w:rPr>
                    <w:t>0</w:t>
                  </w:r>
                  <w:r>
                    <w:rPr>
                      <w:rFonts w:hint="default" w:ascii="Times New Roman" w:hAnsi="Times New Roman" w:cs="Times New Roman"/>
                    </w:rPr>
                    <w:t>/5</w:t>
                  </w:r>
                  <w:r>
                    <w:rPr>
                      <w:rFonts w:hint="eastAsia" w:ascii="Times New Roman" w:hAnsi="Times New Roman" w:cs="Times New Roman"/>
                      <w:lang w:val="en-US" w:eastAsia="zh-CN"/>
                    </w:rPr>
                    <w:t>0</w:t>
                  </w:r>
                </w:p>
              </w:tc>
            </w:tr>
          </w:tbl>
          <w:p>
            <w:pPr>
              <w:tabs>
                <w:tab w:val="left" w:pos="624"/>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根据表7-</w:t>
            </w:r>
            <w:r>
              <w:rPr>
                <w:rFonts w:hint="eastAsia" w:ascii="Times New Roman" w:hAnsi="Times New Roman" w:cs="Times New Roman"/>
                <w:sz w:val="24"/>
                <w:lang w:val="en-US" w:eastAsia="zh-CN"/>
              </w:rPr>
              <w:t>8</w:t>
            </w:r>
            <w:r>
              <w:rPr>
                <w:rFonts w:hint="default" w:ascii="Times New Roman" w:hAnsi="Times New Roman" w:cs="Times New Roman"/>
                <w:sz w:val="24"/>
              </w:rPr>
              <w:t>预测结果可知，项目运行后昼间厂界噪声排放值符合《工业企业厂界环境噪声排放标准》</w:t>
            </w:r>
            <w:r>
              <w:rPr>
                <w:rFonts w:hint="eastAsia" w:ascii="Times New Roman" w:hAnsi="Times New Roman" w:cs="Times New Roman"/>
                <w:sz w:val="24"/>
                <w:lang w:val="en-US" w:eastAsia="zh-CN"/>
              </w:rPr>
              <w:t>2</w:t>
            </w:r>
            <w:r>
              <w:rPr>
                <w:rFonts w:hint="default" w:ascii="Times New Roman" w:hAnsi="Times New Roman" w:cs="Times New Roman"/>
                <w:sz w:val="24"/>
              </w:rPr>
              <w:t>类标准，对周围声环境影响较小</w:t>
            </w:r>
            <w:r>
              <w:rPr>
                <w:rFonts w:hint="default" w:ascii="Times New Roman" w:hAnsi="Times New Roman" w:cs="Times New Roman"/>
                <w:kern w:val="0"/>
                <w:sz w:val="24"/>
              </w:rPr>
              <w:t>。为减少噪声对居民点的影响建议建设方采取隔声消声等措施对较大噪声源进行处理，尽量避免大量高噪声设备同时工作，避免局部声级过高，设备单面声障。项目夜间不工作，该污染源进行降噪后对周围声环境影响不大。</w:t>
            </w:r>
          </w:p>
          <w:p>
            <w:pPr>
              <w:pStyle w:val="83"/>
              <w:numPr>
                <w:ilvl w:val="0"/>
                <w:numId w:val="2"/>
              </w:numPr>
              <w:spacing w:line="360" w:lineRule="auto"/>
              <w:rPr>
                <w:rFonts w:hint="default" w:ascii="Times New Roman" w:hAnsi="Times New Roman" w:cs="Times New Roman"/>
                <w:b/>
                <w:sz w:val="24"/>
                <w:lang w:eastAsia="zh-CN"/>
              </w:rPr>
            </w:pPr>
            <w:r>
              <w:rPr>
                <w:rFonts w:hint="default" w:ascii="Times New Roman" w:hAnsi="Times New Roman" w:cs="Times New Roman"/>
                <w:b/>
                <w:sz w:val="24"/>
                <w:lang w:eastAsia="zh-CN"/>
              </w:rPr>
              <w:t>固体废物环境影响分析</w:t>
            </w:r>
          </w:p>
          <w:p>
            <w:pPr>
              <w:spacing w:line="360" w:lineRule="auto"/>
              <w:ind w:firstLine="360" w:firstLineChars="150"/>
              <w:rPr>
                <w:rFonts w:hint="default" w:ascii="Times New Roman" w:hAnsi="Times New Roman" w:cs="Times New Roman"/>
                <w:sz w:val="24"/>
                <w:szCs w:val="22"/>
              </w:rPr>
            </w:pPr>
            <w:r>
              <w:rPr>
                <w:rFonts w:hint="default" w:ascii="Times New Roman" w:hAnsi="Times New Roman" w:cs="Times New Roman"/>
                <w:sz w:val="24"/>
                <w:szCs w:val="22"/>
              </w:rPr>
              <w:t>本项目营运期固体废物包括生活垃圾、一般固体废物以及危险固体废物。其中，一般固体废弃物包括</w:t>
            </w:r>
            <w:r>
              <w:rPr>
                <w:rFonts w:hint="eastAsia" w:ascii="Times New Roman" w:hAnsi="Times New Roman" w:cs="Times New Roman"/>
                <w:sz w:val="24"/>
                <w:szCs w:val="22"/>
                <w:lang w:eastAsia="zh-CN"/>
              </w:rPr>
              <w:t>除尘系统收集粉尘</w:t>
            </w:r>
            <w:r>
              <w:rPr>
                <w:rFonts w:hint="default" w:ascii="Times New Roman" w:hAnsi="Times New Roman" w:cs="Times New Roman"/>
                <w:sz w:val="24"/>
                <w:szCs w:val="22"/>
              </w:rPr>
              <w:t>、金属边角料、沉淀池沉渣；危险废物包括废润滑油。</w:t>
            </w:r>
          </w:p>
          <w:p>
            <w:pPr>
              <w:spacing w:line="360" w:lineRule="auto"/>
              <w:ind w:firstLine="482" w:firstLineChars="200"/>
              <w:jc w:val="left"/>
              <w:rPr>
                <w:rFonts w:hint="default" w:ascii="Times New Roman" w:hAnsi="Times New Roman" w:cs="Times New Roman"/>
                <w:b/>
                <w:bCs/>
                <w:sz w:val="24"/>
                <w:szCs w:val="22"/>
              </w:rPr>
            </w:pPr>
            <w:r>
              <w:rPr>
                <w:rFonts w:hint="default" w:ascii="Times New Roman" w:hAnsi="Times New Roman" w:cs="Times New Roman"/>
                <w:b/>
                <w:bCs/>
                <w:sz w:val="24"/>
                <w:szCs w:val="22"/>
              </w:rPr>
              <w:t>（1）一般固废</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本项目生产过程</w:t>
            </w:r>
            <w:r>
              <w:rPr>
                <w:rFonts w:hint="eastAsia" w:ascii="Times New Roman" w:hAnsi="Times New Roman" w:cs="Times New Roman"/>
                <w:sz w:val="24"/>
                <w:szCs w:val="22"/>
                <w:lang w:eastAsia="zh-CN"/>
              </w:rPr>
              <w:t>除尘系统收集粉尘</w:t>
            </w:r>
            <w:r>
              <w:rPr>
                <w:rFonts w:hint="default" w:ascii="Times New Roman" w:hAnsi="Times New Roman" w:cs="Times New Roman"/>
                <w:sz w:val="24"/>
                <w:szCs w:val="22"/>
              </w:rPr>
              <w:t>集中收集堆放在厂区一般固体废物暂存间送至废品站处理；金属边角料集中收集，堆放在厂区一般固体废物暂存间定期外售至废品站；除尘器收集粉尘集中收集送至指定堆放地，</w:t>
            </w:r>
            <w:r>
              <w:rPr>
                <w:rFonts w:hint="default" w:ascii="Times New Roman" w:hAnsi="Times New Roman" w:cs="Times New Roman"/>
                <w:sz w:val="24"/>
              </w:rPr>
              <w:t>沉淀池沉渣</w:t>
            </w:r>
            <w:r>
              <w:rPr>
                <w:rFonts w:hint="default" w:ascii="Times New Roman" w:hAnsi="Times New Roman" w:cs="Times New Roman"/>
                <w:sz w:val="24"/>
                <w:lang w:eastAsia="zh-CN"/>
              </w:rPr>
              <w:t>定期经压滤机压滤后，送往垃圾填埋场处理</w:t>
            </w:r>
            <w:r>
              <w:rPr>
                <w:rFonts w:hint="default" w:ascii="Times New Roman" w:hAnsi="Times New Roman" w:cs="Times New Roman"/>
                <w:sz w:val="24"/>
              </w:rPr>
              <w:t>；员工生活垃圾每天定期清理，统一收集委托环卫部门处理。</w:t>
            </w:r>
          </w:p>
          <w:p>
            <w:pPr>
              <w:spacing w:line="360" w:lineRule="auto"/>
              <w:ind w:firstLine="482" w:firstLineChars="200"/>
              <w:jc w:val="left"/>
              <w:rPr>
                <w:rFonts w:hint="default" w:ascii="Times New Roman" w:hAnsi="Times New Roman" w:cs="Times New Roman"/>
                <w:b/>
                <w:bCs/>
                <w:sz w:val="24"/>
                <w:szCs w:val="22"/>
              </w:rPr>
            </w:pPr>
            <w:r>
              <w:rPr>
                <w:rFonts w:hint="default" w:ascii="Times New Roman" w:hAnsi="Times New Roman" w:cs="Times New Roman"/>
                <w:b/>
                <w:bCs/>
                <w:sz w:val="24"/>
                <w:szCs w:val="22"/>
              </w:rPr>
              <w:t>（2）危险固废</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根据工程分析，本项目营运期产生的危险固废主要是废润滑油。根据查询《国家危险废物名录》（2016年），废润滑油属于HW08废矿物油与含矿物油废物，危规号900-214-08车辆、机械维修和拆解过程中产生的废发动机油、制动器油、自动变速器油、齿轮油等废润滑油；本项目在生产车间</w:t>
            </w:r>
            <w:r>
              <w:rPr>
                <w:rFonts w:hint="eastAsia" w:ascii="Times New Roman" w:hAnsi="Times New Roman" w:cs="Times New Roman"/>
                <w:sz w:val="24"/>
                <w:szCs w:val="22"/>
                <w:lang w:eastAsia="zh-CN"/>
              </w:rPr>
              <w:t>东</w:t>
            </w:r>
            <w:r>
              <w:rPr>
                <w:rFonts w:hint="default" w:ascii="Times New Roman" w:hAnsi="Times New Roman" w:cs="Times New Roman"/>
                <w:sz w:val="24"/>
                <w:szCs w:val="22"/>
              </w:rPr>
              <w:t>面设置危险废物暂存场所（</w:t>
            </w:r>
            <w:r>
              <w:rPr>
                <w:rFonts w:hint="eastAsia" w:ascii="Times New Roman" w:hAnsi="Times New Roman" w:cs="Times New Roman"/>
                <w:sz w:val="24"/>
                <w:szCs w:val="22"/>
                <w:lang w:val="en-US" w:eastAsia="zh-CN"/>
              </w:rPr>
              <w:t>1</w:t>
            </w:r>
            <w:r>
              <w:rPr>
                <w:rFonts w:hint="default" w:ascii="Times New Roman" w:hAnsi="Times New Roman" w:cs="Times New Roman"/>
                <w:sz w:val="24"/>
                <w:szCs w:val="22"/>
              </w:rPr>
              <w:t>0m</w:t>
            </w:r>
            <w:r>
              <w:rPr>
                <w:rFonts w:hint="default" w:ascii="Times New Roman" w:hAnsi="Times New Roman" w:cs="Times New Roman"/>
                <w:sz w:val="24"/>
                <w:szCs w:val="22"/>
                <w:vertAlign w:val="superscript"/>
              </w:rPr>
              <w:t>2</w:t>
            </w:r>
            <w:r>
              <w:rPr>
                <w:rFonts w:hint="default" w:ascii="Times New Roman" w:hAnsi="Times New Roman" w:cs="Times New Roman"/>
                <w:sz w:val="24"/>
                <w:szCs w:val="22"/>
              </w:rPr>
              <w:t xml:space="preserve">），危险固废暂存经专门的收集桶收集后放置在危废暂存间中暂存，须按危险废物管理有关规定送至有资质的单位进行无害化处理。 </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根据《危险废物贮存污染控制标准》（GB18597-2001）和《危险废物收集贮存运输技术规范》（HJ2025-2012）的要求，本项目危废贮存场所应按以下要求设置：</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①产生危废的车间，必须使用专用储存设施，并将危险废物装入专用容器中，无法装入常用容器的危险废物可用防漏胶袋等盛装，盛装危险废物的容器和胶带必须贴符合《危险废物贮存污染控制标准》（GB18597-2001）附录A所示的标签等，防止造成二次污染。危险废物暂存时需有塑料内衬密封，并设有专用暂存区，不得混存，且须做好防淋防渗措施，以避免固废中的挥发物质对环境造成污染。</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②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③危险废物的收集和转运过程中，应采取相应的安全防护和污染防治措施，包括防爆、 防火、防中毒、防感染、防泄露、防飞扬、防雨或其它防止污染环境的措施。</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④危险废物贮存设施要符合国家危险固废贮存场所的建设要求，危险固废贮存设施要建有堵截泄漏的裙脚，地面与裙脚用坚固的防渗材料建造，并建有隔离设施和防风、防晒、防雨设施。</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⑤地面与墙角要用坚固、防渗、防腐的材料建造；危险废物存放间场地防渗处理后，渗透系统要小于1×10</w:t>
            </w:r>
            <w:r>
              <w:rPr>
                <w:rFonts w:hint="default" w:ascii="Times New Roman" w:hAnsi="Times New Roman" w:cs="Times New Roman"/>
                <w:sz w:val="24"/>
                <w:szCs w:val="22"/>
                <w:vertAlign w:val="superscript"/>
              </w:rPr>
              <w:t>-10</w:t>
            </w:r>
            <w:r>
              <w:rPr>
                <w:rFonts w:hint="default" w:ascii="Times New Roman" w:hAnsi="Times New Roman" w:cs="Times New Roman"/>
                <w:sz w:val="24"/>
                <w:szCs w:val="22"/>
              </w:rPr>
              <w:t>cm/s。</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⑥</w:t>
            </w:r>
            <w:r>
              <w:rPr>
                <w:rFonts w:hint="eastAsia" w:ascii="Times New Roman" w:hAnsi="Times New Roman" w:cs="Times New Roman"/>
                <w:sz w:val="24"/>
                <w:szCs w:val="22"/>
                <w:lang w:eastAsia="zh-CN"/>
              </w:rPr>
              <w:t>建设单位</w:t>
            </w:r>
            <w:r>
              <w:rPr>
                <w:rFonts w:hint="default" w:ascii="Times New Roman" w:hAnsi="Times New Roman" w:cs="Times New Roman"/>
                <w:sz w:val="24"/>
                <w:szCs w:val="22"/>
              </w:rPr>
              <w:t>应设置专门的危险固废处置机构，作为厂内环境管理、监测的重要组成部分，主要负责危险固废的收集、贮存及处置。</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⑦按月统计危险废物种类、产生量、暂存时间、交由处置时间等除此之外，危险废物存放间还要记录危险废物的名称、来源、数量、特性和包装容器的类别、入库日期、存放库位、出库日期及接受单位名称。</w:t>
            </w:r>
          </w:p>
          <w:p>
            <w:pPr>
              <w:tabs>
                <w:tab w:val="left" w:pos="1440"/>
                <w:tab w:val="left" w:pos="1800"/>
              </w:tabs>
              <w:adjustRightInd w:val="0"/>
              <w:spacing w:line="360" w:lineRule="auto"/>
              <w:ind w:firstLine="482" w:firstLineChars="200"/>
              <w:jc w:val="left"/>
              <w:rPr>
                <w:rFonts w:hint="default" w:ascii="Times New Roman" w:hAnsi="Times New Roman" w:cs="Times New Roman"/>
                <w:b/>
                <w:bCs/>
                <w:sz w:val="24"/>
                <w:szCs w:val="22"/>
              </w:rPr>
            </w:pPr>
            <w:r>
              <w:rPr>
                <w:rFonts w:hint="default" w:ascii="Times New Roman" w:hAnsi="Times New Roman" w:cs="Times New Roman"/>
                <w:b/>
                <w:bCs/>
                <w:sz w:val="24"/>
                <w:szCs w:val="22"/>
              </w:rPr>
              <w:t>贮存安全管理规定：</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根据《危险废物贮存污染控制标准》（GB18597-2001），本项目产生的废润滑油应存放于阴凉、通风、干燥的场所，储存于专用收集容器，防止阳光直射，保持容器密封。</w:t>
            </w:r>
          </w:p>
          <w:p>
            <w:pPr>
              <w:spacing w:line="360" w:lineRule="auto"/>
              <w:ind w:firstLine="482" w:firstLineChars="200"/>
              <w:rPr>
                <w:rFonts w:hint="default" w:ascii="Times New Roman" w:hAnsi="Times New Roman" w:cs="Times New Roman"/>
                <w:b/>
                <w:bCs/>
                <w:sz w:val="24"/>
                <w:szCs w:val="22"/>
              </w:rPr>
            </w:pPr>
            <w:r>
              <w:rPr>
                <w:rFonts w:hint="default" w:ascii="Times New Roman" w:hAnsi="Times New Roman" w:cs="Times New Roman"/>
                <w:b/>
                <w:bCs/>
                <w:sz w:val="24"/>
                <w:szCs w:val="22"/>
              </w:rPr>
              <w:t>运输注意事项：</w:t>
            </w:r>
          </w:p>
          <w:p>
            <w:pPr>
              <w:tabs>
                <w:tab w:val="left" w:pos="1440"/>
                <w:tab w:val="left" w:pos="1800"/>
              </w:tabs>
              <w:adjustRightInd w:val="0"/>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危险废物产生单位在转移危险废物前，须按照国家有关规定报批危险废物转移计划，经批准后，产生单位应当向移出地环境保护行政主管部门申请领取联单。危废的外运应委托有危险化学品运输质资的单位负责运输。</w:t>
            </w:r>
          </w:p>
          <w:p>
            <w:pPr>
              <w:tabs>
                <w:tab w:val="left" w:pos="1440"/>
                <w:tab w:val="left" w:pos="1800"/>
              </w:tabs>
              <w:adjustRightInd w:val="0"/>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本项目固废得到了合理处置和处理，满足《一般工业固体废物贮存、处置场污染控制标准》（GB 18599-2001））和《危险废物贮存污染控制标准》（GB18597-2001）要求，对周边环境影响较小。</w:t>
            </w:r>
          </w:p>
          <w:p>
            <w:pPr>
              <w:adjustRightInd w:val="0"/>
              <w:snapToGrid w:val="0"/>
              <w:spacing w:line="360" w:lineRule="auto"/>
              <w:ind w:firstLine="422" w:firstLineChars="200"/>
              <w:rPr>
                <w:rFonts w:hint="default" w:ascii="Times New Roman" w:hAnsi="Times New Roman" w:cs="Times New Roman"/>
                <w:b/>
                <w:sz w:val="24"/>
              </w:rPr>
            </w:pPr>
            <w:r>
              <w:rPr>
                <w:rFonts w:hint="eastAsia" w:ascii="Times New Roman" w:hAnsi="Times New Roman" w:cs="Times New Roman"/>
                <w:b/>
                <w:lang w:val="en-US" w:eastAsia="zh-CN"/>
              </w:rPr>
              <w:t>5</w:t>
            </w:r>
            <w:r>
              <w:rPr>
                <w:rFonts w:hint="default" w:ascii="Times New Roman" w:hAnsi="Times New Roman" w:cs="Times New Roman"/>
                <w:b/>
                <w:sz w:val="24"/>
              </w:rPr>
              <w:t>、项目产业政策符合性分析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本项目为年产</w:t>
            </w:r>
            <w:r>
              <w:rPr>
                <w:rFonts w:hint="default" w:ascii="Times New Roman" w:hAnsi="Times New Roman" w:cs="Times New Roman"/>
                <w:sz w:val="24"/>
                <w:lang w:eastAsia="zh-CN"/>
              </w:rPr>
              <w:t>180万</w:t>
            </w:r>
            <w:r>
              <w:rPr>
                <w:rFonts w:hint="default" w:ascii="Times New Roman" w:hAnsi="Times New Roman" w:cs="Times New Roman"/>
                <w:sz w:val="24"/>
              </w:rPr>
              <w:t>把扳手生产线建设项目。根据</w:t>
            </w:r>
            <w:r>
              <w:rPr>
                <w:rFonts w:hint="eastAsia" w:ascii="Times New Roman" w:hAnsi="Times New Roman" w:cs="Times New Roman"/>
                <w:sz w:val="24"/>
                <w:lang w:eastAsia="zh-CN"/>
              </w:rPr>
              <w:t>《产业结构调整指导目录（2019年本）》</w:t>
            </w:r>
            <w:r>
              <w:rPr>
                <w:rFonts w:hint="default" w:ascii="Times New Roman" w:hAnsi="Times New Roman" w:cs="Times New Roman"/>
                <w:sz w:val="24"/>
              </w:rPr>
              <w:t>，本项目不属于该目录中鼓励类、限制类和淘汰类的项目，本项目不属国家禁止或限制发展的产品，所用生产设备及生产能力均不属国家禁止或强制淘汰的生产设备或生产能力。本项目建设符合国家的产业政策。</w:t>
            </w:r>
          </w:p>
          <w:p>
            <w:pPr>
              <w:spacing w:line="360" w:lineRule="auto"/>
              <w:ind w:firstLine="482" w:firstLineChars="200"/>
              <w:rPr>
                <w:rFonts w:hint="default" w:ascii="Times New Roman" w:hAnsi="Times New Roman" w:cs="Times New Roman"/>
                <w:b/>
                <w:sz w:val="24"/>
              </w:rPr>
            </w:pPr>
            <w:r>
              <w:rPr>
                <w:rFonts w:hint="eastAsia" w:ascii="Times New Roman" w:hAnsi="Times New Roman" w:cs="Times New Roman"/>
                <w:b/>
                <w:sz w:val="24"/>
                <w:lang w:val="en-US" w:eastAsia="zh-CN"/>
              </w:rPr>
              <w:t>6</w:t>
            </w:r>
            <w:r>
              <w:rPr>
                <w:rFonts w:hint="default" w:ascii="Times New Roman" w:hAnsi="Times New Roman" w:cs="Times New Roman"/>
                <w:b/>
                <w:sz w:val="24"/>
              </w:rPr>
              <w:t>、规划及选址合理性分析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本项目位于</w:t>
            </w:r>
            <w:r>
              <w:rPr>
                <w:rFonts w:hint="default" w:ascii="Times New Roman" w:hAnsi="Times New Roman" w:cs="Times New Roman"/>
                <w:sz w:val="24"/>
                <w:lang w:eastAsia="zh-CN"/>
              </w:rPr>
              <w:t>邵东市仙槎桥镇平阳村</w:t>
            </w:r>
            <w:r>
              <w:rPr>
                <w:rFonts w:hint="default" w:ascii="Times New Roman" w:hAnsi="Times New Roman" w:cs="Times New Roman"/>
                <w:sz w:val="24"/>
              </w:rPr>
              <w:t>内。项目区内供水、供电、通讯等设施可在</w:t>
            </w:r>
            <w:r>
              <w:rPr>
                <w:rFonts w:hint="eastAsia" w:ascii="Times New Roman" w:hAnsi="Times New Roman" w:cs="Times New Roman"/>
                <w:sz w:val="24"/>
                <w:lang w:eastAsia="zh-CN"/>
              </w:rPr>
              <w:t>附近</w:t>
            </w:r>
            <w:r>
              <w:rPr>
                <w:rFonts w:hint="default" w:ascii="Times New Roman" w:hAnsi="Times New Roman" w:cs="Times New Roman"/>
                <w:sz w:val="24"/>
              </w:rPr>
              <w:t>接入，较为方便。项目邻近X019县道，交通便利。生产区与周边无居民点，项目用地性质为工业用地，符合相关土地利用规划。</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项目在采取有效的污染防治措施的前提下，项目产生的废气、废水、固废和噪声均能达标排放或得到妥善处置，对周围环境和周边居民影响较小，项目选址合理。</w:t>
            </w:r>
          </w:p>
          <w:p>
            <w:pPr>
              <w:adjustRightInd w:val="0"/>
              <w:snapToGrid w:val="0"/>
              <w:spacing w:line="360" w:lineRule="auto"/>
              <w:ind w:firstLine="482" w:firstLineChars="200"/>
              <w:rPr>
                <w:rFonts w:hint="default" w:ascii="Times New Roman" w:hAnsi="Times New Roman" w:cs="Times New Roman"/>
                <w:b/>
                <w:sz w:val="24"/>
              </w:rPr>
            </w:pPr>
            <w:r>
              <w:rPr>
                <w:rFonts w:hint="eastAsia" w:ascii="Times New Roman" w:hAnsi="Times New Roman" w:cs="Times New Roman"/>
                <w:b/>
                <w:sz w:val="24"/>
                <w:lang w:val="en-US" w:eastAsia="zh-CN"/>
              </w:rPr>
              <w:t>7</w:t>
            </w:r>
            <w:r>
              <w:rPr>
                <w:rFonts w:hint="default" w:ascii="Times New Roman" w:hAnsi="Times New Roman" w:cs="Times New Roman"/>
                <w:b/>
                <w:sz w:val="24"/>
              </w:rPr>
              <w:t>、项目的总平面布置合理性分析</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sz w:val="24"/>
              </w:rPr>
              <w:t>本项目选址位于湖南省邵阳市邵东市仙槎桥镇平阳村。场地呈矩形，厂内出入口位于西侧，正对乡村道路；西面为综合楼，东面为2栋生产厂房，厂房包括研磨区、锻压区、抛磨车间、原料区、包装区等</w:t>
            </w:r>
            <w:r>
              <w:rPr>
                <w:rFonts w:hint="default" w:ascii="Times New Roman" w:hAnsi="Times New Roman" w:cs="Times New Roman"/>
                <w:sz w:val="24"/>
                <w:lang w:val="zh-CN"/>
              </w:rPr>
              <w:t>。</w:t>
            </w:r>
            <w:r>
              <w:rPr>
                <w:rFonts w:hint="default" w:ascii="Times New Roman" w:hAnsi="Times New Roman" w:cs="Times New Roman"/>
                <w:bCs/>
                <w:sz w:val="24"/>
              </w:rPr>
              <w:t>整个厂区功能分区明确，布置合理，物流线路段。厂区出入口经厂区道路可以直接到达生产厂房，方便物流及产品运输，厂房内部按照流程合理布局，在方便生产的前提下尽量将噪声设备布置在厂房中间位置，以确保</w:t>
            </w:r>
            <w:r>
              <w:rPr>
                <w:rFonts w:hint="eastAsia" w:ascii="Times New Roman" w:hAnsi="Times New Roman" w:cs="Times New Roman"/>
                <w:bCs/>
                <w:sz w:val="24"/>
                <w:lang w:eastAsia="zh-CN"/>
              </w:rPr>
              <w:t>厂界</w:t>
            </w:r>
            <w:r>
              <w:rPr>
                <w:rFonts w:hint="default" w:ascii="Times New Roman" w:hAnsi="Times New Roman" w:cs="Times New Roman"/>
                <w:bCs/>
                <w:sz w:val="24"/>
              </w:rPr>
              <w:t>噪声达标排放。</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从环境保护角度分析，本项目平面布局合理。</w:t>
            </w:r>
          </w:p>
          <w:p>
            <w:pPr>
              <w:adjustRightInd w:val="0"/>
              <w:snapToGrid w:val="0"/>
              <w:spacing w:line="360" w:lineRule="auto"/>
              <w:ind w:firstLine="482" w:firstLineChars="200"/>
              <w:rPr>
                <w:rFonts w:hint="default" w:ascii="Times New Roman" w:hAnsi="Times New Roman" w:cs="Times New Roman"/>
                <w:b/>
                <w:sz w:val="24"/>
              </w:rPr>
            </w:pPr>
            <w:r>
              <w:rPr>
                <w:rFonts w:hint="eastAsia" w:ascii="Times New Roman" w:hAnsi="Times New Roman" w:cs="Times New Roman"/>
                <w:b/>
                <w:sz w:val="24"/>
                <w:lang w:val="en-US" w:eastAsia="zh-CN"/>
              </w:rPr>
              <w:t>8</w:t>
            </w:r>
            <w:r>
              <w:rPr>
                <w:rFonts w:hint="default" w:ascii="Times New Roman" w:hAnsi="Times New Roman" w:cs="Times New Roman"/>
                <w:b/>
                <w:sz w:val="24"/>
              </w:rPr>
              <w:t>、环境相容性分析</w:t>
            </w:r>
          </w:p>
          <w:p>
            <w:pPr>
              <w:pStyle w:val="108"/>
              <w:spacing w:line="360"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本项目所在区域环境空气为《环境空气质量标准》（GB3095-2012）中的二级功能区；项目所在地地表水执行《地表水环境质量标准》（GB3838-2002）Ⅲ类；声环境为《声环境质量标准》（GB3096-2008）中</w:t>
            </w:r>
            <w:r>
              <w:rPr>
                <w:rFonts w:hint="eastAsia" w:ascii="Times New Roman" w:hAnsi="Times New Roman" w:cs="Times New Roman"/>
                <w:color w:val="auto"/>
                <w:lang w:val="en-US" w:eastAsia="zh-CN"/>
              </w:rPr>
              <w:t>2</w:t>
            </w:r>
            <w:r>
              <w:rPr>
                <w:rFonts w:hint="default" w:ascii="Times New Roman" w:hAnsi="Times New Roman" w:cs="Times New Roman"/>
                <w:color w:val="auto"/>
              </w:rPr>
              <w:t>类功能区，本项目所在区域周边环境质量总体较好，符合环境功能区划要求；环境影响预测与分析结果表明：在严格落实各项环保措施的前提下，项目建设对环境的影响可以控制在较低水平，评价区域地表水、环境空气、声环境等各项指标均能够满足相应标准要求，不改变评价区域现有环境功能，符合环境功能区划要求。</w:t>
            </w:r>
          </w:p>
          <w:p>
            <w:pPr>
              <w:adjustRightInd w:val="0"/>
              <w:snapToGrid w:val="0"/>
              <w:spacing w:line="360" w:lineRule="auto"/>
              <w:ind w:firstLine="482" w:firstLineChars="200"/>
              <w:rPr>
                <w:rFonts w:hint="default" w:ascii="Times New Roman" w:hAnsi="Times New Roman" w:cs="Times New Roman"/>
                <w:b/>
                <w:sz w:val="24"/>
              </w:rPr>
            </w:pPr>
            <w:r>
              <w:rPr>
                <w:rFonts w:hint="eastAsia" w:ascii="Times New Roman" w:hAnsi="Times New Roman" w:cs="Times New Roman"/>
                <w:b/>
                <w:sz w:val="24"/>
                <w:lang w:val="en-US" w:eastAsia="zh-CN"/>
              </w:rPr>
              <w:t>9</w:t>
            </w:r>
            <w:r>
              <w:rPr>
                <w:rFonts w:hint="default" w:ascii="Times New Roman" w:hAnsi="Times New Roman" w:cs="Times New Roman"/>
                <w:b/>
                <w:sz w:val="24"/>
              </w:rPr>
              <w:t>、环境管理及环境监测计划</w:t>
            </w:r>
          </w:p>
          <w:p>
            <w:pPr>
              <w:pStyle w:val="12"/>
              <w:spacing w:line="360" w:lineRule="auto"/>
              <w:ind w:firstLine="480" w:firstLineChars="200"/>
              <w:rPr>
                <w:rFonts w:hint="default" w:ascii="Times New Roman" w:hAnsi="Times New Roman" w:cs="Times New Roman"/>
              </w:rPr>
            </w:pPr>
            <w:r>
              <w:rPr>
                <w:rFonts w:hint="default" w:ascii="Times New Roman" w:hAnsi="Times New Roman" w:cs="Times New Roman"/>
              </w:rPr>
              <w:t>为确保本项目生产经营期间环保措施落实到位，建议企业制定环境管理措施：</w:t>
            </w:r>
          </w:p>
          <w:p>
            <w:pPr>
              <w:pStyle w:val="12"/>
              <w:numPr>
                <w:ilvl w:val="0"/>
                <w:numId w:val="3"/>
              </w:numPr>
              <w:spacing w:line="360" w:lineRule="auto"/>
              <w:ind w:firstLine="480" w:firstLineChars="200"/>
              <w:jc w:val="left"/>
              <w:rPr>
                <w:rFonts w:hint="default" w:ascii="Times New Roman" w:hAnsi="Times New Roman" w:cs="Times New Roman"/>
              </w:rPr>
            </w:pPr>
            <w:r>
              <w:rPr>
                <w:rFonts w:hint="default" w:ascii="Times New Roman" w:hAnsi="Times New Roman" w:cs="Times New Roman"/>
              </w:rPr>
              <w:t>由企业领导统筹，指点兼职环境环保人员负责全生产环境质量问题，并组织企业员工定时学习有关环境问题保护措施及环保生产知识，企业制定生产过程中产污环节的环境保护章程，规范操作，制定常见环境问题的处理措施及流程。</w:t>
            </w:r>
          </w:p>
          <w:p>
            <w:pPr>
              <w:pStyle w:val="12"/>
              <w:numPr>
                <w:ilvl w:val="0"/>
                <w:numId w:val="3"/>
              </w:numPr>
              <w:spacing w:line="360" w:lineRule="auto"/>
              <w:ind w:firstLine="480" w:firstLineChars="200"/>
              <w:jc w:val="left"/>
              <w:rPr>
                <w:rFonts w:hint="default" w:ascii="Times New Roman" w:hAnsi="Times New Roman" w:cs="Times New Roman"/>
              </w:rPr>
            </w:pPr>
            <w:r>
              <w:rPr>
                <w:rFonts w:hint="default" w:ascii="Times New Roman" w:hAnsi="Times New Roman" w:cs="Times New Roman"/>
              </w:rPr>
              <w:t>企业设置专门环保经费，且禁止该经费它用。</w:t>
            </w:r>
          </w:p>
          <w:p>
            <w:pPr>
              <w:pStyle w:val="12"/>
              <w:numPr>
                <w:ilvl w:val="0"/>
                <w:numId w:val="3"/>
              </w:numPr>
              <w:spacing w:line="360" w:lineRule="auto"/>
              <w:ind w:firstLine="480" w:firstLineChars="200"/>
              <w:jc w:val="left"/>
              <w:rPr>
                <w:rFonts w:hint="default" w:ascii="Times New Roman" w:hAnsi="Times New Roman" w:cs="Times New Roman"/>
              </w:rPr>
            </w:pPr>
            <w:r>
              <w:rPr>
                <w:rFonts w:hint="default" w:ascii="Times New Roman" w:hAnsi="Times New Roman" w:cs="Times New Roman"/>
              </w:rPr>
              <w:t>每天对产生污染物区进行检查，并填写登记表，每年对环境问题进行总结，并制定下一年度环保工作安排。</w:t>
            </w:r>
          </w:p>
          <w:p>
            <w:pPr>
              <w:pStyle w:val="12"/>
              <w:numPr>
                <w:ilvl w:val="0"/>
                <w:numId w:val="3"/>
              </w:numPr>
              <w:spacing w:line="360" w:lineRule="auto"/>
              <w:ind w:firstLine="480" w:firstLineChars="200"/>
              <w:jc w:val="left"/>
              <w:rPr>
                <w:rFonts w:hint="default" w:ascii="Times New Roman" w:hAnsi="Times New Roman" w:cs="Times New Roman"/>
              </w:rPr>
            </w:pPr>
            <w:r>
              <w:rPr>
                <w:rFonts w:hint="default" w:ascii="Times New Roman" w:hAnsi="Times New Roman" w:cs="Times New Roman"/>
              </w:rPr>
              <w:t>生产中发现环境问题，及时</w:t>
            </w:r>
            <w:r>
              <w:rPr>
                <w:rFonts w:hint="eastAsia" w:ascii="Times New Roman" w:hAnsi="Times New Roman" w:cs="Times New Roman"/>
                <w:lang w:eastAsia="zh-CN"/>
              </w:rPr>
              <w:t>向</w:t>
            </w:r>
            <w:r>
              <w:rPr>
                <w:rFonts w:hint="default" w:ascii="Times New Roman" w:hAnsi="Times New Roman" w:cs="Times New Roman"/>
              </w:rPr>
              <w:t>企业领导报告，并及时妥善处理。如遇重大问题立即向环保</w:t>
            </w:r>
            <w:r>
              <w:rPr>
                <w:rFonts w:hint="eastAsia" w:ascii="Times New Roman" w:hAnsi="Times New Roman" w:cs="Times New Roman"/>
                <w:lang w:eastAsia="zh-CN"/>
              </w:rPr>
              <w:t>主管部门</w:t>
            </w:r>
            <w:r>
              <w:rPr>
                <w:rFonts w:hint="default" w:ascii="Times New Roman" w:hAnsi="Times New Roman" w:cs="Times New Roman"/>
              </w:rPr>
              <w:t>汇报。</w:t>
            </w:r>
          </w:p>
          <w:p>
            <w:pPr>
              <w:pStyle w:val="12"/>
              <w:numPr>
                <w:ilvl w:val="0"/>
                <w:numId w:val="3"/>
              </w:numPr>
              <w:spacing w:line="360" w:lineRule="auto"/>
              <w:ind w:firstLine="480" w:firstLineChars="200"/>
              <w:jc w:val="left"/>
              <w:rPr>
                <w:rFonts w:hint="default" w:ascii="Times New Roman" w:hAnsi="Times New Roman" w:cs="Times New Roman"/>
              </w:rPr>
            </w:pPr>
            <w:r>
              <w:rPr>
                <w:rFonts w:hint="default" w:ascii="Times New Roman" w:hAnsi="Times New Roman" w:cs="Times New Roman"/>
              </w:rPr>
              <w:t>认证听取受工程影响的附近居民及有关人员的意见，了解公众对厂区产生的环境污染的</w:t>
            </w:r>
            <w:r>
              <w:rPr>
                <w:rFonts w:hint="eastAsia" w:ascii="Times New Roman" w:hAnsi="Times New Roman" w:cs="Times New Roman"/>
                <w:lang w:eastAsia="zh-CN"/>
              </w:rPr>
              <w:t>问题</w:t>
            </w:r>
            <w:r>
              <w:rPr>
                <w:rFonts w:hint="default" w:ascii="Times New Roman" w:hAnsi="Times New Roman" w:cs="Times New Roman"/>
              </w:rPr>
              <w:t>，妥善处理好矛盾。</w:t>
            </w:r>
          </w:p>
          <w:p>
            <w:pPr>
              <w:pStyle w:val="12"/>
              <w:spacing w:line="360" w:lineRule="auto"/>
              <w:ind w:firstLine="480" w:firstLineChars="200"/>
              <w:rPr>
                <w:rFonts w:hint="default" w:ascii="Times New Roman" w:hAnsi="Times New Roman" w:cs="Times New Roman"/>
              </w:rPr>
            </w:pPr>
            <w:r>
              <w:rPr>
                <w:rFonts w:hint="default" w:ascii="Times New Roman" w:hAnsi="Times New Roman" w:cs="Times New Roman"/>
              </w:rPr>
              <w:t>项目环境监测计划见下表：</w:t>
            </w:r>
          </w:p>
          <w:p>
            <w:pPr>
              <w:pStyle w:val="12"/>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表7-</w:t>
            </w:r>
            <w:r>
              <w:rPr>
                <w:rFonts w:hint="eastAsia" w:ascii="Times New Roman" w:hAnsi="Times New Roman" w:cs="Times New Roman"/>
                <w:b/>
                <w:bCs/>
                <w:sz w:val="21"/>
                <w:szCs w:val="21"/>
                <w:lang w:val="en-US" w:eastAsia="zh-CN"/>
              </w:rPr>
              <w:t>9</w:t>
            </w:r>
            <w:r>
              <w:rPr>
                <w:rFonts w:hint="default" w:ascii="Times New Roman" w:hAnsi="Times New Roman" w:cs="Times New Roman"/>
                <w:b/>
                <w:bCs/>
                <w:sz w:val="21"/>
                <w:szCs w:val="21"/>
              </w:rPr>
              <w:t>环境监测计划</w:t>
            </w:r>
          </w:p>
          <w:tbl>
            <w:tblPr>
              <w:tblStyle w:val="38"/>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985"/>
              <w:gridCol w:w="1559"/>
              <w:gridCol w:w="1843"/>
              <w:gridCol w:w="29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694" w:type="dxa"/>
                  <w:vAlign w:val="top"/>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985"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监测点位</w:t>
                  </w:r>
                </w:p>
              </w:tc>
              <w:tc>
                <w:tcPr>
                  <w:tcW w:w="1559"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监测指标</w:t>
                  </w:r>
                </w:p>
              </w:tc>
              <w:tc>
                <w:tcPr>
                  <w:tcW w:w="1843"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监测频次</w:t>
                  </w:r>
                </w:p>
              </w:tc>
              <w:tc>
                <w:tcPr>
                  <w:tcW w:w="2983"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694" w:type="dxa"/>
                  <w:vAlign w:val="center"/>
                </w:tcPr>
                <w:p>
                  <w:pPr>
                    <w:pStyle w:val="12"/>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1</w:t>
                  </w:r>
                </w:p>
              </w:tc>
              <w:tc>
                <w:tcPr>
                  <w:tcW w:w="1985"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厂界外上风向1个点，下风向2个点</w:t>
                  </w:r>
                </w:p>
              </w:tc>
              <w:tc>
                <w:tcPr>
                  <w:tcW w:w="1559" w:type="dxa"/>
                  <w:vAlign w:val="center"/>
                </w:tcPr>
                <w:p>
                  <w:pPr>
                    <w:pStyle w:val="12"/>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颗粒物</w:t>
                  </w:r>
                </w:p>
              </w:tc>
              <w:tc>
                <w:tcPr>
                  <w:tcW w:w="1843" w:type="dxa"/>
                  <w:vAlign w:val="center"/>
                </w:tcPr>
                <w:p>
                  <w:pPr>
                    <w:jc w:val="center"/>
                    <w:rPr>
                      <w:rFonts w:hint="default" w:ascii="Times New Roman" w:hAnsi="Times New Roman" w:cs="Times New Roman"/>
                      <w:szCs w:val="21"/>
                    </w:rPr>
                  </w:pPr>
                  <w:r>
                    <w:rPr>
                      <w:rFonts w:hint="eastAsia" w:ascii="Times New Roman" w:hAnsi="Times New Roman" w:cs="Times New Roman"/>
                      <w:szCs w:val="21"/>
                      <w:lang w:eastAsia="zh-CN"/>
                    </w:rPr>
                    <w:t>每年</w:t>
                  </w:r>
                  <w:r>
                    <w:rPr>
                      <w:rFonts w:hint="default" w:ascii="Times New Roman" w:hAnsi="Times New Roman" w:cs="Times New Roman"/>
                      <w:szCs w:val="21"/>
                    </w:rPr>
                    <w:t>一次</w:t>
                  </w:r>
                </w:p>
              </w:tc>
              <w:tc>
                <w:tcPr>
                  <w:tcW w:w="2983"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《大气污染物综合排放标准》（GB16297-2001）无组织排放限值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694" w:type="dxa"/>
                  <w:vAlign w:val="center"/>
                </w:tcPr>
                <w:p>
                  <w:pPr>
                    <w:pStyle w:val="12"/>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2</w:t>
                  </w:r>
                </w:p>
              </w:tc>
              <w:tc>
                <w:tcPr>
                  <w:tcW w:w="1985"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东、南、西、北面厂界外1m</w:t>
                  </w:r>
                </w:p>
              </w:tc>
              <w:tc>
                <w:tcPr>
                  <w:tcW w:w="1559"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厂界环境噪声</w:t>
                  </w:r>
                </w:p>
              </w:tc>
              <w:tc>
                <w:tcPr>
                  <w:tcW w:w="1843" w:type="dxa"/>
                  <w:vAlign w:val="center"/>
                </w:tcPr>
                <w:p>
                  <w:pPr>
                    <w:pStyle w:val="12"/>
                    <w:jc w:val="center"/>
                    <w:rPr>
                      <w:rFonts w:hint="default" w:ascii="Times New Roman" w:hAnsi="Times New Roman" w:cs="Times New Roman"/>
                      <w:sz w:val="21"/>
                      <w:szCs w:val="21"/>
                    </w:rPr>
                  </w:pPr>
                  <w:r>
                    <w:rPr>
                      <w:rFonts w:hint="eastAsia" w:ascii="Times New Roman" w:hAnsi="Times New Roman" w:cs="Times New Roman"/>
                      <w:szCs w:val="21"/>
                      <w:lang w:eastAsia="zh-CN"/>
                    </w:rPr>
                    <w:t>每年</w:t>
                  </w:r>
                  <w:r>
                    <w:rPr>
                      <w:rFonts w:hint="default" w:ascii="Times New Roman" w:hAnsi="Times New Roman" w:cs="Times New Roman"/>
                      <w:szCs w:val="21"/>
                    </w:rPr>
                    <w:t>一次</w:t>
                  </w:r>
                </w:p>
              </w:tc>
              <w:tc>
                <w:tcPr>
                  <w:tcW w:w="2983" w:type="dxa"/>
                  <w:vAlign w:val="center"/>
                </w:tcPr>
                <w:p>
                  <w:pPr>
                    <w:pStyle w:val="12"/>
                    <w:jc w:val="center"/>
                    <w:rPr>
                      <w:rFonts w:hint="default" w:ascii="Times New Roman" w:hAnsi="Times New Roman" w:cs="Times New Roman"/>
                      <w:sz w:val="21"/>
                      <w:szCs w:val="21"/>
                    </w:rPr>
                  </w:pPr>
                  <w:r>
                    <w:rPr>
                      <w:rFonts w:hint="default" w:ascii="Times New Roman" w:hAnsi="Times New Roman" w:cs="Times New Roman"/>
                      <w:sz w:val="21"/>
                      <w:szCs w:val="21"/>
                    </w:rPr>
                    <w:t>《工业企业厂界环境噪声排放标准》（GB12348-2008）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9064" w:type="dxa"/>
                  <w:gridSpan w:val="5"/>
                  <w:vAlign w:val="top"/>
                </w:tcPr>
                <w:p>
                  <w:pPr>
                    <w:pStyle w:val="12"/>
                    <w:rPr>
                      <w:rFonts w:hint="default" w:ascii="Times New Roman" w:hAnsi="Times New Roman" w:cs="Times New Roman"/>
                      <w:sz w:val="21"/>
                      <w:szCs w:val="21"/>
                    </w:rPr>
                  </w:pPr>
                  <w:r>
                    <w:rPr>
                      <w:rFonts w:hint="default" w:ascii="Times New Roman" w:hAnsi="Times New Roman" w:cs="Times New Roman"/>
                      <w:sz w:val="21"/>
                      <w:szCs w:val="21"/>
                    </w:rPr>
                    <w:t>备注：监测点位具体见附图</w:t>
                  </w:r>
                </w:p>
              </w:tc>
            </w:tr>
          </w:tbl>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w:t>
            </w:r>
            <w:r>
              <w:rPr>
                <w:rFonts w:hint="eastAsia" w:ascii="Times New Roman" w:hAnsi="Times New Roman" w:cs="Times New Roman"/>
                <w:b/>
                <w:sz w:val="24"/>
                <w:lang w:val="en-US" w:eastAsia="zh-CN"/>
              </w:rPr>
              <w:t>0</w:t>
            </w:r>
            <w:r>
              <w:rPr>
                <w:rFonts w:hint="default" w:ascii="Times New Roman" w:hAnsi="Times New Roman" w:cs="Times New Roman"/>
                <w:b/>
                <w:sz w:val="24"/>
              </w:rPr>
              <w:t>、污染治理投资估算一览表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本项目用于一次性环保的费用合计约</w:t>
            </w:r>
            <w:r>
              <w:rPr>
                <w:rFonts w:hint="eastAsia" w:ascii="Times New Roman" w:hAnsi="Times New Roman" w:cs="Times New Roman"/>
                <w:sz w:val="24"/>
                <w:lang w:eastAsia="zh-CN"/>
              </w:rPr>
              <w:t>15万</w:t>
            </w:r>
            <w:r>
              <w:rPr>
                <w:rFonts w:hint="default" w:ascii="Times New Roman" w:hAnsi="Times New Roman" w:cs="Times New Roman"/>
                <w:sz w:val="24"/>
              </w:rPr>
              <w:t>元，占总投资额的</w:t>
            </w:r>
            <w:r>
              <w:rPr>
                <w:rFonts w:hint="default" w:ascii="Times New Roman" w:hAnsi="Times New Roman" w:cs="Times New Roman"/>
                <w:sz w:val="24"/>
                <w:lang w:eastAsia="zh-CN"/>
              </w:rPr>
              <w:t>7</w:t>
            </w:r>
            <w:r>
              <w:rPr>
                <w:rFonts w:hint="eastAsia" w:ascii="Times New Roman" w:hAnsi="Times New Roman" w:cs="Times New Roman"/>
                <w:sz w:val="24"/>
                <w:lang w:val="en-US" w:eastAsia="zh-CN"/>
              </w:rPr>
              <w:t>.5</w:t>
            </w:r>
            <w:r>
              <w:rPr>
                <w:rFonts w:hint="default" w:ascii="Times New Roman" w:hAnsi="Times New Roman" w:cs="Times New Roman"/>
                <w:sz w:val="24"/>
                <w:lang w:eastAsia="zh-CN"/>
              </w:rPr>
              <w:t>%</w:t>
            </w:r>
            <w:r>
              <w:rPr>
                <w:rFonts w:hint="default" w:ascii="Times New Roman" w:hAnsi="Times New Roman" w:cs="Times New Roman"/>
                <w:sz w:val="24"/>
              </w:rPr>
              <w:t>，概算见下表。</w:t>
            </w:r>
          </w:p>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表7-</w:t>
            </w:r>
            <w:r>
              <w:rPr>
                <w:rFonts w:hint="eastAsia" w:ascii="Times New Roman" w:hAnsi="Times New Roman" w:cs="Times New Roman"/>
                <w:b/>
                <w:szCs w:val="21"/>
                <w:lang w:val="en-US" w:eastAsia="zh-CN"/>
              </w:rPr>
              <w:t>10</w:t>
            </w:r>
            <w:r>
              <w:rPr>
                <w:rFonts w:hint="default" w:ascii="Times New Roman" w:hAnsi="Times New Roman" w:cs="Times New Roman"/>
                <w:b/>
                <w:szCs w:val="21"/>
              </w:rPr>
              <w:t xml:space="preserve">   污染治理投资估算</w:t>
            </w:r>
          </w:p>
          <w:tbl>
            <w:tblPr>
              <w:tblStyle w:val="38"/>
              <w:tblW w:w="906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51"/>
              <w:gridCol w:w="1087"/>
              <w:gridCol w:w="2442"/>
              <w:gridCol w:w="2607"/>
              <w:gridCol w:w="975"/>
              <w:gridCol w:w="130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6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108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项目</w:t>
                  </w:r>
                </w:p>
              </w:tc>
              <w:tc>
                <w:tcPr>
                  <w:tcW w:w="244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污染源</w:t>
                  </w:r>
                </w:p>
              </w:tc>
              <w:tc>
                <w:tcPr>
                  <w:tcW w:w="260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环保设施及处理规模</w:t>
                  </w:r>
                </w:p>
              </w:tc>
              <w:tc>
                <w:tcPr>
                  <w:tcW w:w="97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费用（万元）</w:t>
                  </w:r>
                </w:p>
              </w:tc>
              <w:tc>
                <w:tcPr>
                  <w:tcW w:w="13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651"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0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废水</w:t>
                  </w:r>
                </w:p>
              </w:tc>
              <w:tc>
                <w:tcPr>
                  <w:tcW w:w="244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生活污水</w:t>
                  </w:r>
                </w:p>
              </w:tc>
              <w:tc>
                <w:tcPr>
                  <w:tcW w:w="260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化粪池</w:t>
                  </w:r>
                </w:p>
              </w:tc>
              <w:tc>
                <w:tcPr>
                  <w:tcW w:w="97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3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已有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651" w:type="dxa"/>
                  <w:vMerge w:val="continue"/>
                  <w:vAlign w:val="center"/>
                </w:tcPr>
                <w:p>
                  <w:pPr>
                    <w:jc w:val="center"/>
                    <w:rPr>
                      <w:rFonts w:hint="default" w:ascii="Times New Roman" w:hAnsi="Times New Roman" w:cs="Times New Roman"/>
                      <w:szCs w:val="21"/>
                    </w:rPr>
                  </w:pPr>
                </w:p>
              </w:tc>
              <w:tc>
                <w:tcPr>
                  <w:tcW w:w="1087" w:type="dxa"/>
                  <w:vMerge w:val="continue"/>
                  <w:vAlign w:val="center"/>
                </w:tcPr>
                <w:p>
                  <w:pPr>
                    <w:jc w:val="center"/>
                    <w:rPr>
                      <w:rFonts w:hint="default" w:ascii="Times New Roman" w:hAnsi="Times New Roman" w:cs="Times New Roman"/>
                      <w:szCs w:val="21"/>
                    </w:rPr>
                  </w:pPr>
                </w:p>
              </w:tc>
              <w:tc>
                <w:tcPr>
                  <w:tcW w:w="244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生产废水</w:t>
                  </w:r>
                </w:p>
              </w:tc>
              <w:tc>
                <w:tcPr>
                  <w:tcW w:w="260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循环水池（10m</w:t>
                  </w:r>
                  <w:r>
                    <w:rPr>
                      <w:rFonts w:hint="default" w:ascii="Times New Roman" w:hAnsi="Times New Roman" w:cs="Times New Roman"/>
                      <w:szCs w:val="21"/>
                      <w:vertAlign w:val="superscript"/>
                    </w:rPr>
                    <w:t>3</w:t>
                  </w:r>
                  <w:r>
                    <w:rPr>
                      <w:rFonts w:hint="default" w:ascii="Times New Roman" w:hAnsi="Times New Roman" w:cs="Times New Roman"/>
                      <w:szCs w:val="21"/>
                    </w:rPr>
                    <w:t>）</w:t>
                  </w:r>
                </w:p>
              </w:tc>
              <w:tc>
                <w:tcPr>
                  <w:tcW w:w="97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3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已有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7" w:hRule="atLeast"/>
                <w:jc w:val="center"/>
              </w:trPr>
              <w:tc>
                <w:tcPr>
                  <w:tcW w:w="651"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0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废气</w:t>
                  </w:r>
                </w:p>
              </w:tc>
              <w:tc>
                <w:tcPr>
                  <w:tcW w:w="2442" w:type="dxa"/>
                  <w:vAlign w:val="center"/>
                </w:tcPr>
                <w:p>
                  <w:pPr>
                    <w:jc w:val="center"/>
                    <w:rPr>
                      <w:rFonts w:hint="default" w:ascii="Times New Roman" w:hAnsi="Times New Roman" w:cs="Times New Roman"/>
                      <w:szCs w:val="21"/>
                    </w:rPr>
                  </w:pPr>
                  <w:r>
                    <w:rPr>
                      <w:rFonts w:hint="default" w:ascii="Times New Roman" w:hAnsi="Times New Roman" w:cs="Times New Roman"/>
                    </w:rPr>
                    <w:t>打磨粉尘</w:t>
                  </w:r>
                </w:p>
              </w:tc>
              <w:tc>
                <w:tcPr>
                  <w:tcW w:w="2607" w:type="dxa"/>
                  <w:vAlign w:val="center"/>
                </w:tcPr>
                <w:p>
                  <w:pPr>
                    <w:jc w:val="center"/>
                    <w:rPr>
                      <w:rFonts w:hint="default" w:ascii="Times New Roman" w:hAnsi="Times New Roman" w:cs="Times New Roman"/>
                      <w:szCs w:val="21"/>
                    </w:rPr>
                  </w:pPr>
                  <w:r>
                    <w:rPr>
                      <w:rFonts w:hint="eastAsia" w:ascii="Times New Roman" w:hAnsi="Times New Roman" w:cs="Times New Roman"/>
                      <w:szCs w:val="21"/>
                      <w:lang w:eastAsia="zh-CN"/>
                    </w:rPr>
                    <w:t>湿法</w:t>
                  </w:r>
                  <w:r>
                    <w:rPr>
                      <w:rFonts w:hint="default" w:ascii="Times New Roman" w:hAnsi="Times New Roman" w:cs="Times New Roman"/>
                      <w:szCs w:val="21"/>
                    </w:rPr>
                    <w:t>除尘器</w:t>
                  </w:r>
                </w:p>
              </w:tc>
              <w:tc>
                <w:tcPr>
                  <w:tcW w:w="975" w:type="dxa"/>
                  <w:tcBorders>
                    <w:bottom w:val="single" w:color="auto" w:sz="4" w:space="0"/>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302" w:type="dxa"/>
                  <w:tcBorders>
                    <w:bottom w:val="single" w:color="auto" w:sz="4" w:space="0"/>
                  </w:tcBorders>
                  <w:vAlign w:val="center"/>
                </w:tcPr>
                <w:p>
                  <w:pPr>
                    <w:jc w:val="center"/>
                    <w:rPr>
                      <w:rFonts w:hint="default" w:ascii="Times New Roman" w:hAnsi="Times New Roman" w:cs="Times New Roman"/>
                      <w:szCs w:val="21"/>
                    </w:rPr>
                  </w:pPr>
                  <w:r>
                    <w:rPr>
                      <w:rFonts w:hint="eastAsia" w:ascii="Times New Roman" w:hAnsi="Times New Roman" w:cs="Times New Roman"/>
                      <w:szCs w:val="21"/>
                      <w:lang w:eastAsia="zh-CN"/>
                    </w:rPr>
                    <w:t>新</w:t>
                  </w:r>
                  <w:r>
                    <w:rPr>
                      <w:rFonts w:hint="default" w:ascii="Times New Roman" w:hAnsi="Times New Roman" w:cs="Times New Roman"/>
                      <w:szCs w:val="21"/>
                    </w:rPr>
                    <w:t>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7" w:hRule="atLeast"/>
                <w:jc w:val="center"/>
              </w:trPr>
              <w:tc>
                <w:tcPr>
                  <w:tcW w:w="651" w:type="dxa"/>
                  <w:vMerge w:val="continue"/>
                  <w:vAlign w:val="center"/>
                </w:tcPr>
                <w:p>
                  <w:pPr>
                    <w:jc w:val="center"/>
                    <w:rPr>
                      <w:rFonts w:hint="default" w:ascii="Times New Roman" w:hAnsi="Times New Roman" w:cs="Times New Roman"/>
                      <w:szCs w:val="21"/>
                    </w:rPr>
                  </w:pPr>
                </w:p>
              </w:tc>
              <w:tc>
                <w:tcPr>
                  <w:tcW w:w="1087" w:type="dxa"/>
                  <w:vMerge w:val="continue"/>
                  <w:vAlign w:val="center"/>
                </w:tcPr>
                <w:p>
                  <w:pPr>
                    <w:jc w:val="center"/>
                    <w:rPr>
                      <w:rFonts w:hint="default" w:ascii="Times New Roman" w:hAnsi="Times New Roman" w:cs="Times New Roman"/>
                      <w:szCs w:val="21"/>
                    </w:rPr>
                  </w:pPr>
                </w:p>
              </w:tc>
              <w:tc>
                <w:tcPr>
                  <w:tcW w:w="2442" w:type="dxa"/>
                  <w:vAlign w:val="center"/>
                </w:tcPr>
                <w:p>
                  <w:pPr>
                    <w:jc w:val="center"/>
                    <w:rPr>
                      <w:rFonts w:hint="default" w:ascii="Times New Roman" w:hAnsi="Times New Roman" w:cs="Times New Roman"/>
                    </w:rPr>
                  </w:pPr>
                  <w:r>
                    <w:rPr>
                      <w:rFonts w:hint="default" w:ascii="Times New Roman" w:hAnsi="Times New Roman" w:cs="Times New Roman"/>
                      <w:lang w:eastAsia="zh-CN"/>
                    </w:rPr>
                    <w:t>抛丸</w:t>
                  </w:r>
                  <w:r>
                    <w:rPr>
                      <w:rFonts w:hint="default" w:ascii="Times New Roman" w:hAnsi="Times New Roman" w:cs="Times New Roman"/>
                    </w:rPr>
                    <w:t>粉尘</w:t>
                  </w:r>
                </w:p>
              </w:tc>
              <w:tc>
                <w:tcPr>
                  <w:tcW w:w="2607" w:type="dxa"/>
                  <w:tcBorders>
                    <w:bottom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自配除尘器</w:t>
                  </w:r>
                </w:p>
              </w:tc>
              <w:tc>
                <w:tcPr>
                  <w:tcW w:w="975" w:type="dxa"/>
                  <w:tcBorders>
                    <w:top w:val="single" w:color="auto" w:sz="4" w:space="0"/>
                    <w:bottom w:val="single" w:color="auto" w:sz="4" w:space="0"/>
                  </w:tcBorders>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1302" w:type="dxa"/>
                  <w:tcBorders>
                    <w:top w:val="single" w:color="auto" w:sz="4" w:space="0"/>
                    <w:bottom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已有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47" w:hRule="atLeast"/>
                <w:jc w:val="center"/>
              </w:trPr>
              <w:tc>
                <w:tcPr>
                  <w:tcW w:w="651" w:type="dxa"/>
                  <w:vMerge w:val="continue"/>
                  <w:vAlign w:val="center"/>
                </w:tcPr>
                <w:p>
                  <w:pPr>
                    <w:jc w:val="center"/>
                    <w:rPr>
                      <w:rFonts w:hint="default" w:ascii="Times New Roman" w:hAnsi="Times New Roman" w:cs="Times New Roman"/>
                      <w:szCs w:val="21"/>
                    </w:rPr>
                  </w:pPr>
                </w:p>
              </w:tc>
              <w:tc>
                <w:tcPr>
                  <w:tcW w:w="1087" w:type="dxa"/>
                  <w:vMerge w:val="continue"/>
                  <w:vAlign w:val="center"/>
                </w:tcPr>
                <w:p>
                  <w:pPr>
                    <w:jc w:val="center"/>
                    <w:rPr>
                      <w:rFonts w:hint="default" w:ascii="Times New Roman" w:hAnsi="Times New Roman" w:cs="Times New Roman"/>
                      <w:szCs w:val="21"/>
                    </w:rPr>
                  </w:pPr>
                </w:p>
              </w:tc>
              <w:tc>
                <w:tcPr>
                  <w:tcW w:w="2442" w:type="dxa"/>
                  <w:vAlign w:val="center"/>
                </w:tcPr>
                <w:p>
                  <w:pPr>
                    <w:jc w:val="center"/>
                    <w:rPr>
                      <w:rFonts w:hint="default" w:ascii="Times New Roman" w:hAnsi="Times New Roman" w:cs="Times New Roman"/>
                      <w:lang w:eastAsia="zh-CN"/>
                    </w:rPr>
                  </w:pPr>
                  <w:r>
                    <w:rPr>
                      <w:rFonts w:hint="eastAsia" w:ascii="Times New Roman" w:hAnsi="Times New Roman" w:cs="Times New Roman"/>
                      <w:lang w:eastAsia="zh-CN"/>
                    </w:rPr>
                    <w:t>抛光粉尘</w:t>
                  </w:r>
                </w:p>
              </w:tc>
              <w:tc>
                <w:tcPr>
                  <w:tcW w:w="2607" w:type="dxa"/>
                  <w:tcBorders>
                    <w:top w:val="single" w:color="auto" w:sz="4" w:space="0"/>
                  </w:tcBorders>
                  <w:vAlign w:val="center"/>
                </w:tcPr>
                <w:p>
                  <w:pPr>
                    <w:jc w:val="center"/>
                    <w:rPr>
                      <w:rFonts w:hint="default" w:ascii="Times New Roman" w:hAnsi="Times New Roman" w:cs="Times New Roman"/>
                      <w:szCs w:val="21"/>
                    </w:rPr>
                  </w:pPr>
                  <w:r>
                    <w:rPr>
                      <w:rFonts w:hint="eastAsia" w:ascii="Times New Roman" w:hAnsi="Times New Roman" w:cs="Times New Roman"/>
                      <w:szCs w:val="21"/>
                      <w:lang w:eastAsia="zh-CN"/>
                    </w:rPr>
                    <w:t>湿法</w:t>
                  </w:r>
                  <w:r>
                    <w:rPr>
                      <w:rFonts w:hint="default" w:ascii="Times New Roman" w:hAnsi="Times New Roman" w:cs="Times New Roman"/>
                      <w:szCs w:val="21"/>
                    </w:rPr>
                    <w:t>除尘器</w:t>
                  </w:r>
                </w:p>
              </w:tc>
              <w:tc>
                <w:tcPr>
                  <w:tcW w:w="975" w:type="dxa"/>
                  <w:tcBorders>
                    <w:top w:val="single" w:color="auto" w:sz="4" w:space="0"/>
                  </w:tcBorders>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3</w:t>
                  </w:r>
                </w:p>
              </w:tc>
              <w:tc>
                <w:tcPr>
                  <w:tcW w:w="1302" w:type="dxa"/>
                  <w:tcBorders>
                    <w:top w:val="single" w:color="auto" w:sz="4" w:space="0"/>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新建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651"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0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固废</w:t>
                  </w:r>
                </w:p>
              </w:tc>
              <w:tc>
                <w:tcPr>
                  <w:tcW w:w="2442" w:type="dxa"/>
                  <w:vAlign w:val="center"/>
                </w:tcPr>
                <w:p>
                  <w:pPr>
                    <w:rPr>
                      <w:rFonts w:hint="default" w:ascii="Times New Roman" w:hAnsi="Times New Roman" w:cs="Times New Roman"/>
                      <w:szCs w:val="21"/>
                    </w:rPr>
                  </w:pPr>
                  <w:r>
                    <w:rPr>
                      <w:rFonts w:hint="eastAsia" w:ascii="Times New Roman" w:hAnsi="Times New Roman" w:cs="Times New Roman"/>
                      <w:lang w:eastAsia="zh-CN"/>
                    </w:rPr>
                    <w:t>除尘系统收集粉尘</w:t>
                  </w:r>
                  <w:r>
                    <w:rPr>
                      <w:rFonts w:hint="default" w:ascii="Times New Roman" w:hAnsi="Times New Roman" w:cs="Times New Roman"/>
                    </w:rPr>
                    <w:t>、金属边交流、沉淀池沉渣、生活垃圾</w:t>
                  </w:r>
                </w:p>
              </w:tc>
              <w:tc>
                <w:tcPr>
                  <w:tcW w:w="260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1个20m</w:t>
                  </w:r>
                  <w:r>
                    <w:rPr>
                      <w:rFonts w:hint="default" w:ascii="Times New Roman" w:hAnsi="Times New Roman" w:cs="Times New Roman"/>
                      <w:szCs w:val="21"/>
                      <w:vertAlign w:val="superscript"/>
                    </w:rPr>
                    <w:t>2</w:t>
                  </w:r>
                  <w:r>
                    <w:rPr>
                      <w:rFonts w:hint="default" w:ascii="Times New Roman" w:hAnsi="Times New Roman" w:cs="Times New Roman"/>
                      <w:szCs w:val="21"/>
                    </w:rPr>
                    <w:t>的一般固废暂存间，垃圾桶若干</w:t>
                  </w:r>
                </w:p>
              </w:tc>
              <w:tc>
                <w:tcPr>
                  <w:tcW w:w="975"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0.8</w:t>
                  </w:r>
                </w:p>
              </w:tc>
              <w:tc>
                <w:tcPr>
                  <w:tcW w:w="13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atLeast"/>
                <w:jc w:val="center"/>
              </w:trPr>
              <w:tc>
                <w:tcPr>
                  <w:tcW w:w="651" w:type="dxa"/>
                  <w:vMerge w:val="continue"/>
                  <w:vAlign w:val="center"/>
                </w:tcPr>
                <w:p>
                  <w:pPr>
                    <w:jc w:val="center"/>
                    <w:rPr>
                      <w:rFonts w:hint="default" w:ascii="Times New Roman" w:hAnsi="Times New Roman" w:cs="Times New Roman"/>
                      <w:szCs w:val="21"/>
                    </w:rPr>
                  </w:pPr>
                </w:p>
              </w:tc>
              <w:tc>
                <w:tcPr>
                  <w:tcW w:w="1087" w:type="dxa"/>
                  <w:vMerge w:val="continue"/>
                  <w:vAlign w:val="center"/>
                </w:tcPr>
                <w:p>
                  <w:pPr>
                    <w:jc w:val="center"/>
                    <w:rPr>
                      <w:rFonts w:hint="default" w:ascii="Times New Roman" w:hAnsi="Times New Roman" w:cs="Times New Roman"/>
                      <w:szCs w:val="21"/>
                    </w:rPr>
                  </w:pPr>
                </w:p>
              </w:tc>
              <w:tc>
                <w:tcPr>
                  <w:tcW w:w="2442" w:type="dxa"/>
                  <w:vAlign w:val="center"/>
                </w:tcPr>
                <w:p>
                  <w:pPr>
                    <w:jc w:val="center"/>
                    <w:rPr>
                      <w:rFonts w:hint="eastAsia" w:ascii="Times New Roman" w:hAnsi="Times New Roman" w:eastAsia="宋体" w:cs="Times New Roman"/>
                      <w:lang w:val="en-US" w:eastAsia="zh-CN"/>
                    </w:rPr>
                  </w:pPr>
                  <w:r>
                    <w:rPr>
                      <w:rFonts w:hint="default" w:ascii="Times New Roman" w:hAnsi="Times New Roman" w:cs="Times New Roman"/>
                    </w:rPr>
                    <w:t>废润滑油、废润滑油</w:t>
                  </w:r>
                  <w:r>
                    <w:rPr>
                      <w:rFonts w:hint="eastAsia" w:cs="Times New Roman"/>
                      <w:lang w:val="en-US" w:eastAsia="zh-CN"/>
                    </w:rPr>
                    <w:t>桶</w:t>
                  </w:r>
                </w:p>
              </w:tc>
              <w:tc>
                <w:tcPr>
                  <w:tcW w:w="260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1个10m</w:t>
                  </w:r>
                  <w:r>
                    <w:rPr>
                      <w:rFonts w:hint="default" w:ascii="Times New Roman" w:hAnsi="Times New Roman" w:cs="Times New Roman"/>
                      <w:szCs w:val="21"/>
                      <w:vertAlign w:val="superscript"/>
                    </w:rPr>
                    <w:t>2</w:t>
                  </w:r>
                  <w:r>
                    <w:rPr>
                      <w:rFonts w:hint="default" w:ascii="Times New Roman" w:hAnsi="Times New Roman" w:cs="Times New Roman"/>
                      <w:szCs w:val="21"/>
                    </w:rPr>
                    <w:t>的危险废物暂存间</w:t>
                  </w:r>
                </w:p>
              </w:tc>
              <w:tc>
                <w:tcPr>
                  <w:tcW w:w="975" w:type="dxa"/>
                  <w:vAlign w:val="center"/>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w:t>
                  </w:r>
                </w:p>
              </w:tc>
              <w:tc>
                <w:tcPr>
                  <w:tcW w:w="13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atLeast"/>
                <w:jc w:val="center"/>
              </w:trPr>
              <w:tc>
                <w:tcPr>
                  <w:tcW w:w="651" w:type="dxa"/>
                  <w:vMerge w:val="continue"/>
                  <w:vAlign w:val="center"/>
                </w:tcPr>
                <w:p>
                  <w:pPr>
                    <w:jc w:val="center"/>
                    <w:rPr>
                      <w:rFonts w:hint="default" w:ascii="Times New Roman" w:hAnsi="Times New Roman" w:cs="Times New Roman"/>
                      <w:szCs w:val="21"/>
                    </w:rPr>
                  </w:pPr>
                </w:p>
              </w:tc>
              <w:tc>
                <w:tcPr>
                  <w:tcW w:w="1087" w:type="dxa"/>
                  <w:vMerge w:val="continue"/>
                  <w:vAlign w:val="center"/>
                </w:tcPr>
                <w:p>
                  <w:pPr>
                    <w:jc w:val="center"/>
                    <w:rPr>
                      <w:rFonts w:hint="default" w:ascii="Times New Roman" w:hAnsi="Times New Roman" w:cs="Times New Roman"/>
                      <w:szCs w:val="21"/>
                    </w:rPr>
                  </w:pPr>
                </w:p>
              </w:tc>
              <w:tc>
                <w:tcPr>
                  <w:tcW w:w="2442"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生活垃圾</w:t>
                  </w:r>
                </w:p>
              </w:tc>
              <w:tc>
                <w:tcPr>
                  <w:tcW w:w="260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垃圾桶</w:t>
                  </w:r>
                </w:p>
              </w:tc>
              <w:tc>
                <w:tcPr>
                  <w:tcW w:w="975"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0.2</w:t>
                  </w:r>
                </w:p>
              </w:tc>
              <w:tc>
                <w:tcPr>
                  <w:tcW w:w="13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6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08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噪声</w:t>
                  </w:r>
                </w:p>
              </w:tc>
              <w:tc>
                <w:tcPr>
                  <w:tcW w:w="2442" w:type="dxa"/>
                  <w:vAlign w:val="center"/>
                </w:tcPr>
                <w:p>
                  <w:pPr>
                    <w:jc w:val="center"/>
                    <w:rPr>
                      <w:rFonts w:hint="default" w:ascii="Times New Roman" w:hAnsi="Times New Roman" w:cs="Times New Roman"/>
                      <w:szCs w:val="21"/>
                    </w:rPr>
                  </w:pPr>
                  <w:r>
                    <w:rPr>
                      <w:rFonts w:hint="default" w:ascii="Times New Roman" w:hAnsi="Times New Roman" w:cs="Times New Roman"/>
                    </w:rPr>
                    <w:t>各种生产设备运行产生的噪声以及原辅材料装卸噪声和车辆运输噪声</w:t>
                  </w:r>
                </w:p>
              </w:tc>
              <w:tc>
                <w:tcPr>
                  <w:tcW w:w="260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减振、隔声、吸声措施</w:t>
                  </w:r>
                </w:p>
              </w:tc>
              <w:tc>
                <w:tcPr>
                  <w:tcW w:w="975"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3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180" w:type="dxa"/>
                  <w:gridSpan w:val="3"/>
                  <w:vAlign w:val="center"/>
                </w:tcPr>
                <w:p>
                  <w:pPr>
                    <w:jc w:val="center"/>
                    <w:rPr>
                      <w:rFonts w:hint="default" w:ascii="Times New Roman" w:hAnsi="Times New Roman" w:cs="Times New Roman"/>
                      <w:szCs w:val="21"/>
                    </w:rPr>
                  </w:pPr>
                  <w:r>
                    <w:rPr>
                      <w:rFonts w:hint="default" w:ascii="Times New Roman" w:hAnsi="Times New Roman" w:cs="Times New Roman"/>
                      <w:szCs w:val="21"/>
                    </w:rPr>
                    <w:t>合计</w:t>
                  </w:r>
                </w:p>
              </w:tc>
              <w:tc>
                <w:tcPr>
                  <w:tcW w:w="2607" w:type="dxa"/>
                  <w:vAlign w:val="center"/>
                </w:tcPr>
                <w:p>
                  <w:pPr>
                    <w:jc w:val="center"/>
                    <w:rPr>
                      <w:rFonts w:hint="default" w:ascii="Times New Roman" w:hAnsi="Times New Roman" w:cs="Times New Roman"/>
                      <w:szCs w:val="21"/>
                    </w:rPr>
                  </w:pPr>
                </w:p>
              </w:tc>
              <w:tc>
                <w:tcPr>
                  <w:tcW w:w="975" w:type="dxa"/>
                  <w:vAlign w:val="center"/>
                </w:tcPr>
                <w:p>
                  <w:pPr>
                    <w:jc w:val="center"/>
                    <w:rPr>
                      <w:rFonts w:hint="eastAsia" w:ascii="Times New Roman" w:hAnsi="Times New Roman" w:eastAsia="宋体" w:cs="Times New Roman"/>
                      <w:szCs w:val="21"/>
                      <w:lang w:eastAsia="zh-CN"/>
                    </w:rPr>
                  </w:pPr>
                  <w:r>
                    <w:rPr>
                      <w:rFonts w:hint="default" w:ascii="Times New Roman" w:hAnsi="Times New Roman" w:cs="Times New Roman"/>
                      <w:szCs w:val="21"/>
                    </w:rPr>
                    <w:t>1</w:t>
                  </w:r>
                  <w:r>
                    <w:rPr>
                      <w:rFonts w:hint="eastAsia" w:ascii="Times New Roman" w:hAnsi="Times New Roman" w:cs="Times New Roman"/>
                      <w:szCs w:val="21"/>
                      <w:lang w:val="en-US" w:eastAsia="zh-CN"/>
                    </w:rPr>
                    <w:t>5</w:t>
                  </w:r>
                </w:p>
              </w:tc>
              <w:tc>
                <w:tcPr>
                  <w:tcW w:w="1302" w:type="dxa"/>
                  <w:vAlign w:val="center"/>
                </w:tcPr>
                <w:p>
                  <w:pPr>
                    <w:jc w:val="center"/>
                    <w:rPr>
                      <w:rFonts w:hint="default" w:ascii="Times New Roman" w:hAnsi="Times New Roman" w:cs="Times New Roman"/>
                      <w:szCs w:val="21"/>
                    </w:rPr>
                  </w:pPr>
                </w:p>
              </w:tc>
            </w:tr>
          </w:tbl>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1</w:t>
            </w:r>
            <w:r>
              <w:rPr>
                <w:rFonts w:hint="eastAsia" w:ascii="Times New Roman" w:hAnsi="Times New Roman" w:cs="Times New Roman"/>
                <w:b/>
                <w:sz w:val="24"/>
                <w:lang w:val="en-US" w:eastAsia="zh-CN"/>
              </w:rPr>
              <w:t>1</w:t>
            </w:r>
            <w:r>
              <w:rPr>
                <w:rFonts w:hint="default" w:ascii="Times New Roman" w:hAnsi="Times New Roman" w:cs="Times New Roman"/>
                <w:b/>
                <w:sz w:val="24"/>
              </w:rPr>
              <w:t>、建设项目竣工环境保护验收</w:t>
            </w:r>
          </w:p>
          <w:p>
            <w:pPr>
              <w:jc w:val="center"/>
              <w:rPr>
                <w:rFonts w:hint="default" w:ascii="Times New Roman" w:hAnsi="Times New Roman" w:cs="Times New Roman"/>
                <w:b/>
                <w:szCs w:val="21"/>
              </w:rPr>
            </w:pPr>
            <w:r>
              <w:rPr>
                <w:rFonts w:hint="default" w:ascii="Times New Roman" w:hAnsi="Times New Roman" w:cs="Times New Roman"/>
                <w:b/>
                <w:szCs w:val="21"/>
              </w:rPr>
              <w:t>表7-</w:t>
            </w:r>
            <w:r>
              <w:rPr>
                <w:rFonts w:hint="eastAsia" w:ascii="Times New Roman" w:hAnsi="Times New Roman" w:cs="Times New Roman"/>
                <w:b/>
                <w:szCs w:val="21"/>
                <w:lang w:val="en-US" w:eastAsia="zh-CN"/>
              </w:rPr>
              <w:t>11</w:t>
            </w:r>
            <w:r>
              <w:rPr>
                <w:rFonts w:hint="default" w:ascii="Times New Roman" w:hAnsi="Times New Roman" w:cs="Times New Roman"/>
                <w:b/>
                <w:szCs w:val="21"/>
              </w:rPr>
              <w:t xml:space="preserve">   竣工验收一览表</w:t>
            </w:r>
          </w:p>
          <w:tbl>
            <w:tblPr>
              <w:tblStyle w:val="38"/>
              <w:tblW w:w="90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3"/>
              <w:gridCol w:w="1702"/>
              <w:gridCol w:w="2409"/>
              <w:gridCol w:w="4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3"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项目</w:t>
                  </w:r>
                </w:p>
              </w:tc>
              <w:tc>
                <w:tcPr>
                  <w:tcW w:w="1702" w:type="dxa"/>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污染物名称</w:t>
                  </w:r>
                </w:p>
              </w:tc>
              <w:tc>
                <w:tcPr>
                  <w:tcW w:w="2409"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污染源及治理措施</w:t>
                  </w:r>
                </w:p>
              </w:tc>
              <w:tc>
                <w:tcPr>
                  <w:tcW w:w="4400"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3" w:type="dxa"/>
                  <w:vMerge w:val="restart"/>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废水处理</w:t>
                  </w:r>
                </w:p>
              </w:tc>
              <w:tc>
                <w:tcPr>
                  <w:tcW w:w="1702" w:type="dxa"/>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生活污水</w:t>
                  </w:r>
                </w:p>
              </w:tc>
              <w:tc>
                <w:tcPr>
                  <w:tcW w:w="2409" w:type="dxa"/>
                  <w:tcMar>
                    <w:left w:w="28" w:type="dxa"/>
                    <w:right w:w="28" w:type="dxa"/>
                  </w:tcMar>
                  <w:vAlign w:val="center"/>
                </w:tcPr>
                <w:p>
                  <w:pPr>
                    <w:jc w:val="center"/>
                    <w:rPr>
                      <w:rFonts w:hint="eastAsia" w:ascii="Times New Roman" w:hAnsi="Times New Roman" w:eastAsia="宋体" w:cs="Times New Roman"/>
                      <w:szCs w:val="21"/>
                      <w:u w:val="none"/>
                      <w:lang w:eastAsia="zh-CN"/>
                    </w:rPr>
                  </w:pPr>
                  <w:r>
                    <w:rPr>
                      <w:rFonts w:hint="default" w:ascii="Times New Roman" w:hAnsi="Times New Roman" w:cs="Times New Roman"/>
                      <w:szCs w:val="21"/>
                      <w:u w:val="none"/>
                    </w:rPr>
                    <w:t>生活污水经化粪池处理后</w:t>
                  </w:r>
                  <w:r>
                    <w:rPr>
                      <w:rFonts w:hint="eastAsia" w:ascii="Times New Roman" w:hAnsi="Times New Roman" w:cs="Times New Roman"/>
                      <w:szCs w:val="21"/>
                      <w:u w:val="none"/>
                      <w:lang w:eastAsia="zh-CN"/>
                    </w:rPr>
                    <w:t>用作农肥</w:t>
                  </w:r>
                </w:p>
              </w:tc>
              <w:tc>
                <w:tcPr>
                  <w:tcW w:w="4400" w:type="dxa"/>
                  <w:tcMar>
                    <w:left w:w="28" w:type="dxa"/>
                    <w:right w:w="28" w:type="dxa"/>
                  </w:tcMar>
                  <w:vAlign w:val="center"/>
                </w:tcPr>
                <w:p>
                  <w:pPr>
                    <w:jc w:val="center"/>
                    <w:rPr>
                      <w:rFonts w:hint="eastAsia" w:ascii="Times New Roman" w:hAnsi="Times New Roman" w:eastAsia="宋体" w:cs="Times New Roman"/>
                      <w:szCs w:val="21"/>
                      <w:u w:val="none"/>
                      <w:lang w:eastAsia="zh-CN"/>
                    </w:rPr>
                  </w:pPr>
                  <w:r>
                    <w:rPr>
                      <w:rFonts w:hint="eastAsia" w:ascii="Times New Roman" w:hAnsi="Times New Roman" w:cs="Times New Roman"/>
                      <w:szCs w:val="21"/>
                      <w:u w:val="none"/>
                      <w:lang w:eastAsia="zh-CN"/>
                    </w:rPr>
                    <w:t>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3" w:type="dxa"/>
                  <w:vMerge w:val="continue"/>
                  <w:tcMar>
                    <w:left w:w="28" w:type="dxa"/>
                    <w:right w:w="28" w:type="dxa"/>
                  </w:tcMar>
                  <w:vAlign w:val="center"/>
                </w:tcPr>
                <w:p>
                  <w:pPr>
                    <w:jc w:val="center"/>
                    <w:rPr>
                      <w:rFonts w:hint="default" w:ascii="Times New Roman" w:hAnsi="Times New Roman" w:cs="Times New Roman"/>
                      <w:szCs w:val="21"/>
                      <w:u w:val="none"/>
                    </w:rPr>
                  </w:pPr>
                </w:p>
              </w:tc>
              <w:tc>
                <w:tcPr>
                  <w:tcW w:w="1702" w:type="dxa"/>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生产废水</w:t>
                  </w:r>
                </w:p>
              </w:tc>
              <w:tc>
                <w:tcPr>
                  <w:tcW w:w="2409"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沉淀后循环使用使用</w:t>
                  </w:r>
                </w:p>
              </w:tc>
              <w:tc>
                <w:tcPr>
                  <w:tcW w:w="4400"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3"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废气治理</w:t>
                  </w:r>
                </w:p>
              </w:tc>
              <w:tc>
                <w:tcPr>
                  <w:tcW w:w="1702" w:type="dxa"/>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颗粒物</w:t>
                  </w:r>
                </w:p>
              </w:tc>
              <w:tc>
                <w:tcPr>
                  <w:tcW w:w="2409" w:type="dxa"/>
                  <w:tcMar>
                    <w:left w:w="28" w:type="dxa"/>
                    <w:right w:w="28" w:type="dxa"/>
                  </w:tcMar>
                  <w:vAlign w:val="center"/>
                </w:tcPr>
                <w:p>
                  <w:pPr>
                    <w:jc w:val="center"/>
                    <w:rPr>
                      <w:rFonts w:hint="default" w:ascii="Times New Roman" w:hAnsi="Times New Roman" w:eastAsia="宋体" w:cs="Times New Roman"/>
                      <w:szCs w:val="21"/>
                      <w:u w:val="none"/>
                      <w:lang w:eastAsia="zh-CN"/>
                    </w:rPr>
                  </w:pPr>
                  <w:r>
                    <w:rPr>
                      <w:rFonts w:hint="default" w:ascii="Times New Roman" w:hAnsi="Times New Roman" w:cs="Times New Roman"/>
                      <w:szCs w:val="21"/>
                      <w:u w:val="none"/>
                    </w:rPr>
                    <w:t>打磨粉尘经</w:t>
                  </w:r>
                  <w:r>
                    <w:rPr>
                      <w:rFonts w:hint="default" w:ascii="Times New Roman" w:hAnsi="Times New Roman" w:cs="Times New Roman"/>
                      <w:szCs w:val="21"/>
                      <w:u w:val="none"/>
                      <w:lang w:eastAsia="zh-CN"/>
                    </w:rPr>
                    <w:t>湿法除尘系统处理</w:t>
                  </w:r>
                  <w:r>
                    <w:rPr>
                      <w:rFonts w:hint="default" w:ascii="Times New Roman" w:hAnsi="Times New Roman" w:cs="Times New Roman"/>
                      <w:szCs w:val="21"/>
                      <w:u w:val="none"/>
                    </w:rPr>
                    <w:t>，</w:t>
                  </w:r>
                  <w:r>
                    <w:rPr>
                      <w:rFonts w:hint="default" w:ascii="Times New Roman" w:hAnsi="Times New Roman" w:cs="Times New Roman"/>
                      <w:szCs w:val="21"/>
                      <w:u w:val="none"/>
                      <w:lang w:eastAsia="zh-CN"/>
                    </w:rPr>
                    <w:t>抛丸</w:t>
                  </w:r>
                  <w:r>
                    <w:rPr>
                      <w:rFonts w:hint="default" w:ascii="Times New Roman" w:hAnsi="Times New Roman" w:cs="Times New Roman"/>
                      <w:szCs w:val="21"/>
                      <w:u w:val="none"/>
                    </w:rPr>
                    <w:t>粉尘经自配除尘器处理，</w:t>
                  </w:r>
                  <w:r>
                    <w:rPr>
                      <w:rFonts w:hint="default" w:ascii="Times New Roman" w:hAnsi="Times New Roman" w:cs="Times New Roman"/>
                      <w:szCs w:val="21"/>
                      <w:u w:val="none"/>
                      <w:lang w:eastAsia="zh-CN"/>
                    </w:rPr>
                    <w:t>抛光粉尘经湿法除尘系统处理，处理后在厂区内无组织排放</w:t>
                  </w:r>
                </w:p>
              </w:tc>
              <w:tc>
                <w:tcPr>
                  <w:tcW w:w="4400"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无组织粉尘满足《大气污染物综合排放标准》（GB16297-1996）周界外浓度最高点排放限值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3"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噪声</w:t>
                  </w:r>
                </w:p>
                <w:p>
                  <w:pPr>
                    <w:jc w:val="center"/>
                    <w:rPr>
                      <w:rFonts w:hint="default" w:ascii="Times New Roman" w:hAnsi="Times New Roman" w:cs="Times New Roman"/>
                      <w:szCs w:val="21"/>
                      <w:u w:val="none"/>
                    </w:rPr>
                  </w:pPr>
                  <w:r>
                    <w:rPr>
                      <w:rFonts w:hint="default" w:ascii="Times New Roman" w:hAnsi="Times New Roman" w:cs="Times New Roman"/>
                      <w:szCs w:val="21"/>
                      <w:u w:val="none"/>
                    </w:rPr>
                    <w:t>治理</w:t>
                  </w:r>
                </w:p>
              </w:tc>
              <w:tc>
                <w:tcPr>
                  <w:tcW w:w="1702" w:type="dxa"/>
                  <w:vAlign w:val="center"/>
                </w:tcPr>
                <w:p>
                  <w:pPr>
                    <w:jc w:val="center"/>
                    <w:rPr>
                      <w:rFonts w:hint="eastAsia" w:ascii="Times New Roman" w:hAnsi="Times New Roman" w:eastAsia="宋体" w:cs="Times New Roman"/>
                      <w:szCs w:val="21"/>
                      <w:u w:val="none"/>
                      <w:lang w:eastAsia="zh-CN"/>
                    </w:rPr>
                  </w:pPr>
                  <w:r>
                    <w:rPr>
                      <w:rFonts w:hint="eastAsia" w:ascii="Times New Roman" w:hAnsi="Times New Roman" w:cs="Times New Roman"/>
                      <w:szCs w:val="21"/>
                      <w:u w:val="none"/>
                      <w:lang w:eastAsia="zh-CN"/>
                    </w:rPr>
                    <w:t>噪声</w:t>
                  </w:r>
                </w:p>
              </w:tc>
              <w:tc>
                <w:tcPr>
                  <w:tcW w:w="2409"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减振垫隔音窗</w:t>
                  </w:r>
                </w:p>
              </w:tc>
              <w:tc>
                <w:tcPr>
                  <w:tcW w:w="4400"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达到《工业企业厂界环境噪声排放标准》</w:t>
                  </w:r>
                  <w:r>
                    <w:rPr>
                      <w:rFonts w:hint="eastAsia" w:ascii="Times New Roman" w:hAnsi="Times New Roman" w:cs="Times New Roman"/>
                      <w:szCs w:val="21"/>
                      <w:u w:val="none"/>
                      <w:lang w:val="en-US" w:eastAsia="zh-CN"/>
                    </w:rPr>
                    <w:t>2</w:t>
                  </w:r>
                  <w:r>
                    <w:rPr>
                      <w:rFonts w:hint="default" w:ascii="Times New Roman" w:hAnsi="Times New Roman" w:cs="Times New Roman"/>
                      <w:szCs w:val="21"/>
                      <w:u w:val="none"/>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3" w:hRule="atLeast"/>
                <w:jc w:val="center"/>
              </w:trPr>
              <w:tc>
                <w:tcPr>
                  <w:tcW w:w="553" w:type="dxa"/>
                  <w:vMerge w:val="restart"/>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固废治理</w:t>
                  </w:r>
                </w:p>
              </w:tc>
              <w:tc>
                <w:tcPr>
                  <w:tcW w:w="1702" w:type="dxa"/>
                  <w:vAlign w:val="center"/>
                </w:tcPr>
                <w:p>
                  <w:pPr>
                    <w:pStyle w:val="77"/>
                    <w:spacing w:line="240" w:lineRule="auto"/>
                    <w:rPr>
                      <w:rFonts w:hint="default" w:ascii="Times New Roman" w:hAnsi="Times New Roman" w:cs="Times New Roman"/>
                      <w:szCs w:val="21"/>
                      <w:u w:val="none"/>
                    </w:rPr>
                  </w:pPr>
                  <w:r>
                    <w:rPr>
                      <w:rFonts w:hint="default" w:ascii="Times New Roman" w:hAnsi="Times New Roman" w:cs="Times New Roman"/>
                      <w:u w:val="none"/>
                    </w:rPr>
                    <w:t>废润滑油</w:t>
                  </w:r>
                </w:p>
              </w:tc>
              <w:tc>
                <w:tcPr>
                  <w:tcW w:w="2409" w:type="dxa"/>
                  <w:tcMar>
                    <w:left w:w="28" w:type="dxa"/>
                    <w:right w:w="28" w:type="dxa"/>
                  </w:tcMar>
                  <w:vAlign w:val="center"/>
                </w:tcPr>
                <w:p>
                  <w:pPr>
                    <w:pStyle w:val="77"/>
                    <w:spacing w:line="240" w:lineRule="auto"/>
                    <w:rPr>
                      <w:rFonts w:hint="default" w:ascii="Times New Roman" w:hAnsi="Times New Roman" w:cs="Times New Roman"/>
                      <w:szCs w:val="21"/>
                      <w:u w:val="none"/>
                    </w:rPr>
                  </w:pPr>
                  <w:r>
                    <w:rPr>
                      <w:rFonts w:hint="default" w:ascii="Times New Roman" w:hAnsi="Times New Roman" w:cs="Times New Roman"/>
                      <w:szCs w:val="21"/>
                      <w:u w:val="none"/>
                    </w:rPr>
                    <w:t>--</w:t>
                  </w:r>
                </w:p>
              </w:tc>
              <w:tc>
                <w:tcPr>
                  <w:tcW w:w="4400"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《危险废物贮存污染控制标准》（GB18597-2001）中的要求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4" w:hRule="atLeast"/>
                <w:jc w:val="center"/>
              </w:trPr>
              <w:tc>
                <w:tcPr>
                  <w:tcW w:w="553" w:type="dxa"/>
                  <w:vMerge w:val="continue"/>
                  <w:tcMar>
                    <w:left w:w="28" w:type="dxa"/>
                    <w:right w:w="28" w:type="dxa"/>
                  </w:tcMar>
                  <w:vAlign w:val="center"/>
                </w:tcPr>
                <w:p>
                  <w:pPr>
                    <w:jc w:val="center"/>
                    <w:rPr>
                      <w:rFonts w:hint="default" w:ascii="Times New Roman" w:hAnsi="Times New Roman" w:cs="Times New Roman"/>
                      <w:szCs w:val="21"/>
                      <w:u w:val="none"/>
                    </w:rPr>
                  </w:pPr>
                </w:p>
              </w:tc>
              <w:tc>
                <w:tcPr>
                  <w:tcW w:w="1702" w:type="dxa"/>
                  <w:vAlign w:val="center"/>
                </w:tcPr>
                <w:p>
                  <w:pPr>
                    <w:pStyle w:val="77"/>
                    <w:spacing w:line="240" w:lineRule="auto"/>
                    <w:rPr>
                      <w:rFonts w:hint="default" w:ascii="Times New Roman" w:hAnsi="Times New Roman" w:cs="Times New Roman"/>
                      <w:szCs w:val="21"/>
                      <w:u w:val="none"/>
                    </w:rPr>
                  </w:pPr>
                  <w:r>
                    <w:rPr>
                      <w:rFonts w:hint="eastAsia" w:ascii="Times New Roman" w:hAnsi="Times New Roman" w:cs="Times New Roman"/>
                      <w:u w:val="none"/>
                      <w:lang w:eastAsia="zh-CN"/>
                    </w:rPr>
                    <w:t>除尘系统收集粉尘</w:t>
                  </w:r>
                  <w:r>
                    <w:rPr>
                      <w:rFonts w:hint="default" w:ascii="Times New Roman" w:hAnsi="Times New Roman" w:cs="Times New Roman"/>
                      <w:u w:val="none"/>
                    </w:rPr>
                    <w:t>、金属边角料</w:t>
                  </w:r>
                </w:p>
              </w:tc>
              <w:tc>
                <w:tcPr>
                  <w:tcW w:w="2409" w:type="dxa"/>
                  <w:tcMar>
                    <w:left w:w="28" w:type="dxa"/>
                    <w:right w:w="28" w:type="dxa"/>
                  </w:tcMar>
                  <w:vAlign w:val="center"/>
                </w:tcPr>
                <w:p>
                  <w:pPr>
                    <w:pStyle w:val="77"/>
                    <w:spacing w:line="240" w:lineRule="auto"/>
                    <w:rPr>
                      <w:rFonts w:hint="default" w:ascii="Times New Roman" w:hAnsi="Times New Roman" w:cs="Times New Roman"/>
                      <w:szCs w:val="21"/>
                      <w:u w:val="none"/>
                    </w:rPr>
                  </w:pPr>
                  <w:r>
                    <w:rPr>
                      <w:rFonts w:hint="default" w:ascii="Times New Roman" w:hAnsi="Times New Roman" w:cs="Times New Roman"/>
                      <w:szCs w:val="21"/>
                      <w:u w:val="none"/>
                    </w:rPr>
                    <w:t>集中收集外售</w:t>
                  </w:r>
                </w:p>
              </w:tc>
              <w:tc>
                <w:tcPr>
                  <w:tcW w:w="4400" w:type="dxa"/>
                  <w:vMerge w:val="restart"/>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bCs/>
                      <w:szCs w:val="21"/>
                      <w:u w:val="none"/>
                    </w:rPr>
                    <w:t>《一般工业固体废物贮存、处置场污染控制标准》(GB18599-2001)要求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4" w:hRule="atLeast"/>
                <w:jc w:val="center"/>
              </w:trPr>
              <w:tc>
                <w:tcPr>
                  <w:tcW w:w="553" w:type="dxa"/>
                  <w:vMerge w:val="continue"/>
                  <w:tcMar>
                    <w:left w:w="28" w:type="dxa"/>
                    <w:right w:w="28" w:type="dxa"/>
                  </w:tcMar>
                  <w:vAlign w:val="center"/>
                </w:tcPr>
                <w:p>
                  <w:pPr>
                    <w:jc w:val="center"/>
                    <w:rPr>
                      <w:rFonts w:hint="default" w:ascii="Times New Roman" w:hAnsi="Times New Roman" w:cs="Times New Roman"/>
                      <w:szCs w:val="21"/>
                      <w:u w:val="none"/>
                    </w:rPr>
                  </w:pPr>
                </w:p>
              </w:tc>
              <w:tc>
                <w:tcPr>
                  <w:tcW w:w="1702" w:type="dxa"/>
                  <w:vAlign w:val="center"/>
                </w:tcPr>
                <w:p>
                  <w:pPr>
                    <w:pStyle w:val="77"/>
                    <w:spacing w:line="240" w:lineRule="auto"/>
                    <w:rPr>
                      <w:rFonts w:hint="eastAsia" w:ascii="Times New Roman" w:hAnsi="Times New Roman" w:cs="Times New Roman"/>
                      <w:u w:val="none"/>
                      <w:lang w:eastAsia="zh-CN"/>
                    </w:rPr>
                  </w:pPr>
                  <w:r>
                    <w:rPr>
                      <w:rFonts w:hint="default" w:ascii="Times New Roman" w:hAnsi="Times New Roman" w:cs="Times New Roman"/>
                      <w:u w:val="none"/>
                    </w:rPr>
                    <w:t>沉淀池沉渣</w:t>
                  </w:r>
                </w:p>
              </w:tc>
              <w:tc>
                <w:tcPr>
                  <w:tcW w:w="2409" w:type="dxa"/>
                  <w:tcMar>
                    <w:left w:w="28" w:type="dxa"/>
                    <w:right w:w="28" w:type="dxa"/>
                  </w:tcMar>
                  <w:vAlign w:val="center"/>
                </w:tcPr>
                <w:p>
                  <w:pPr>
                    <w:pStyle w:val="77"/>
                    <w:spacing w:line="240" w:lineRule="auto"/>
                    <w:rPr>
                      <w:rFonts w:hint="eastAsia" w:ascii="Times New Roman" w:hAnsi="Times New Roman" w:eastAsia="宋体" w:cs="Times New Roman"/>
                      <w:szCs w:val="21"/>
                      <w:u w:val="none"/>
                      <w:lang w:eastAsia="zh-CN"/>
                    </w:rPr>
                  </w:pPr>
                  <w:r>
                    <w:rPr>
                      <w:rFonts w:hint="eastAsia" w:ascii="Times New Roman" w:hAnsi="Times New Roman" w:cs="Times New Roman"/>
                      <w:szCs w:val="21"/>
                      <w:u w:val="none"/>
                      <w:lang w:eastAsia="zh-CN"/>
                    </w:rPr>
                    <w:t>压滤后送生活垃圾填埋场</w:t>
                  </w:r>
                </w:p>
              </w:tc>
              <w:tc>
                <w:tcPr>
                  <w:tcW w:w="4400" w:type="dxa"/>
                  <w:vMerge w:val="continue"/>
                  <w:tcMar>
                    <w:left w:w="28" w:type="dxa"/>
                    <w:right w:w="28" w:type="dxa"/>
                  </w:tcMar>
                  <w:vAlign w:val="center"/>
                </w:tcPr>
                <w:p>
                  <w:pPr>
                    <w:jc w:val="center"/>
                    <w:rPr>
                      <w:rFonts w:hint="default" w:ascii="Times New Roman" w:hAnsi="Times New Roman" w:cs="Times New Roman"/>
                      <w:bCs/>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53" w:type="dxa"/>
                  <w:vMerge w:val="continue"/>
                  <w:tcMar>
                    <w:left w:w="28" w:type="dxa"/>
                    <w:right w:w="28" w:type="dxa"/>
                  </w:tcMar>
                  <w:vAlign w:val="center"/>
                </w:tcPr>
                <w:p>
                  <w:pPr>
                    <w:jc w:val="center"/>
                    <w:rPr>
                      <w:rFonts w:hint="default" w:ascii="Times New Roman" w:hAnsi="Times New Roman" w:cs="Times New Roman"/>
                      <w:szCs w:val="21"/>
                      <w:u w:val="none"/>
                    </w:rPr>
                  </w:pPr>
                </w:p>
              </w:tc>
              <w:tc>
                <w:tcPr>
                  <w:tcW w:w="1702" w:type="dxa"/>
                  <w:vAlign w:val="center"/>
                </w:tcPr>
                <w:p>
                  <w:pPr>
                    <w:pStyle w:val="77"/>
                    <w:spacing w:line="240" w:lineRule="auto"/>
                    <w:rPr>
                      <w:rFonts w:hint="default" w:ascii="Times New Roman" w:hAnsi="Times New Roman" w:cs="Times New Roman"/>
                      <w:szCs w:val="21"/>
                      <w:u w:val="none"/>
                    </w:rPr>
                  </w:pPr>
                  <w:r>
                    <w:rPr>
                      <w:rFonts w:hint="default" w:ascii="Times New Roman" w:hAnsi="Times New Roman" w:cs="Times New Roman"/>
                      <w:szCs w:val="21"/>
                      <w:u w:val="none"/>
                    </w:rPr>
                    <w:t>生活垃圾</w:t>
                  </w:r>
                </w:p>
              </w:tc>
              <w:tc>
                <w:tcPr>
                  <w:tcW w:w="2409" w:type="dxa"/>
                  <w:tcMar>
                    <w:left w:w="28" w:type="dxa"/>
                    <w:right w:w="28" w:type="dxa"/>
                  </w:tcMar>
                  <w:vAlign w:val="center"/>
                </w:tcPr>
                <w:p>
                  <w:pPr>
                    <w:pStyle w:val="77"/>
                    <w:spacing w:line="240" w:lineRule="auto"/>
                    <w:rPr>
                      <w:rFonts w:hint="default" w:ascii="Times New Roman" w:hAnsi="Times New Roman" w:cs="Times New Roman"/>
                      <w:szCs w:val="21"/>
                      <w:u w:val="none"/>
                    </w:rPr>
                  </w:pPr>
                  <w:r>
                    <w:rPr>
                      <w:rFonts w:hint="eastAsia" w:cs="Times New Roman"/>
                      <w:szCs w:val="21"/>
                      <w:u w:val="none"/>
                      <w:lang w:eastAsia="zh-CN"/>
                    </w:rPr>
                    <w:t>及时</w:t>
                  </w:r>
                  <w:r>
                    <w:rPr>
                      <w:rFonts w:hint="eastAsia" w:ascii="Times New Roman" w:hAnsi="Times New Roman" w:cs="Times New Roman"/>
                      <w:szCs w:val="21"/>
                      <w:u w:val="none"/>
                      <w:lang w:eastAsia="zh-CN"/>
                    </w:rPr>
                    <w:t>后送生活垃圾填埋场</w:t>
                  </w:r>
                </w:p>
              </w:tc>
              <w:tc>
                <w:tcPr>
                  <w:tcW w:w="4400" w:type="dxa"/>
                  <w:tcMar>
                    <w:left w:w="28" w:type="dxa"/>
                    <w:right w:w="28" w:type="dxa"/>
                  </w:tcMar>
                  <w:vAlign w:val="center"/>
                </w:tcPr>
                <w:p>
                  <w:pPr>
                    <w:jc w:val="center"/>
                    <w:rPr>
                      <w:rFonts w:hint="default" w:ascii="Times New Roman" w:hAnsi="Times New Roman" w:cs="Times New Roman"/>
                      <w:szCs w:val="21"/>
                      <w:u w:val="none"/>
                    </w:rPr>
                  </w:pPr>
                  <w:r>
                    <w:rPr>
                      <w:rFonts w:hint="default" w:ascii="Times New Roman" w:hAnsi="Times New Roman" w:cs="Times New Roman"/>
                      <w:szCs w:val="21"/>
                      <w:u w:val="none"/>
                    </w:rPr>
                    <w:t>达到环保要求</w:t>
                  </w:r>
                </w:p>
              </w:tc>
            </w:tr>
          </w:tbl>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根据《建设项目环境保护管理条例》（2017年修订版）第十七条，编制环境影响报告书、环境影响报告表的建设项目竣工后，建设单位应当按照国务院环境保护行政主管部门规定的标准和程序，对配套建设的环境保护设施进行验收，编制验收报告。验收工作主要包括验收监测工作和后续工作，其中验收监测工作可分为启动、自查、编制验收监测方案、实施监测与检查、编制验收监测报告五个阶段。具体工作程序见图7-1。验收推荐程序与方法见图7-2。</w:t>
            </w:r>
          </w:p>
          <w:p>
            <w:pPr>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SA"/>
              </w:rPr>
              <w:pict>
                <v:shape id="_x0000_i1032" o:spt="75" type="#_x0000_t75" style="height:412.5pt;width:452.25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pStyle w:val="108"/>
              <w:rPr>
                <w:rFonts w:hint="default" w:ascii="Times New Roman" w:hAnsi="Times New Roman" w:cs="Times New Roman"/>
                <w:color w:val="auto"/>
              </w:rPr>
            </w:pPr>
            <w:r>
              <w:rPr>
                <w:rFonts w:hint="default" w:ascii="Times New Roman" w:hAnsi="Times New Roman" w:eastAsia="宋体" w:cs="Times New Roman"/>
                <w:color w:val="auto"/>
                <w:sz w:val="24"/>
                <w:szCs w:val="24"/>
                <w:lang w:val="en-US" w:eastAsia="zh-CN" w:bidi="ar-SA"/>
              </w:rPr>
              <w:pict>
                <v:shape id="_x0000_i1033" o:spt="75" type="#_x0000_t75" style="height:287.25pt;width:455.2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jc w:val="center"/>
              <w:rPr>
                <w:rFonts w:hint="default" w:ascii="Times New Roman" w:hAnsi="Times New Roman" w:cs="Times New Roman"/>
                <w:b/>
                <w:bCs/>
                <w:szCs w:val="21"/>
              </w:rPr>
            </w:pPr>
            <w:r>
              <w:rPr>
                <w:rFonts w:hint="default" w:ascii="Times New Roman" w:hAnsi="Times New Roman" w:cs="Times New Roman"/>
                <w:b/>
                <w:bCs/>
                <w:szCs w:val="21"/>
              </w:rPr>
              <w:t>图7-1 验收工作程序框图</w:t>
            </w:r>
          </w:p>
          <w:p>
            <w:pPr>
              <w:pStyle w:val="108"/>
              <w:rPr>
                <w:rFonts w:hint="default" w:ascii="Times New Roman" w:hAnsi="Times New Roman" w:cs="Times New Roman"/>
                <w:color w:val="auto"/>
              </w:rPr>
            </w:pPr>
            <w:r>
              <w:rPr>
                <w:rFonts w:hint="default" w:ascii="Times New Roman" w:hAnsi="Times New Roman" w:eastAsia="宋体" w:cs="Times New Roman"/>
                <w:color w:val="auto"/>
                <w:sz w:val="24"/>
                <w:szCs w:val="24"/>
                <w:lang w:val="en-US" w:eastAsia="zh-CN" w:bidi="ar-SA"/>
              </w:rPr>
              <w:pict>
                <v:shape id="_x0000_i1034" o:spt="75" type="#_x0000_t75" style="height:354pt;width:455.25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jc w:val="center"/>
              <w:rPr>
                <w:rFonts w:hint="default" w:ascii="Times New Roman" w:hAnsi="Times New Roman" w:cs="Times New Roman"/>
                <w:b/>
                <w:bCs/>
                <w:szCs w:val="21"/>
              </w:rPr>
            </w:pPr>
            <w:r>
              <w:rPr>
                <w:rFonts w:hint="default" w:ascii="Times New Roman" w:hAnsi="Times New Roman" w:cs="Times New Roman"/>
                <w:b/>
                <w:bCs/>
                <w:szCs w:val="21"/>
              </w:rPr>
              <w:t>图7-2 验收推荐方法图</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推荐方法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1）成立验收工作组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建设单位组织成立的验收工作组可包括项目的环保设施设计单位、环保设施施工单位、环境监理单位（如有）、环境影响报告书（表）编制单位、验收监测报告（表）编制单位等技术支持单位和环境保护验收、行业、监测、质控等领域的技术专家。技术支持单位和技术专家的专业技术能力应足够支撑验收组对项目能否通过验收做出科学准确的结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2）现场核查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验收工作组现场核查工作目的是核查验收监测报告（表）内容的真实性和准确性，补充了解验收监测报告（表）中反映不全面或不详尽的内容，进一步了解项目特点和区域环境特征等。现场核查是得出验收意见的一种有效手段。现场核查要点可参照原环境保护部《关于印发建设项目竣工环境保护验收现场检查及审查要点的通知》（环办〔2015〕113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3）形成验收意见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验收工作组可以召开验收会议的方式，在现场核查和对验收监测报告内容核查的基础上，严格依照国家有关法律法规、建设项目竣工环境保护验收技术规范、建设项目环境影响报告书（表）及其审批部门审批决定等要求对建设项目配套建设的环境保护设施进行验收，形成科学合理的验收意见。验收意见应当包括工程建设基本情况，工程变动情况，环境保护设施落实情况，环境保护设施调试运行效果，工程建设对环境的影响，项目存在的主要问题，验收结论和后续要求。对验收不合格的项目，验收意见中还应明确详细、具体可操作的整改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4）建立档案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套完整的建设项目竣工环境保护验收档案包括环境影响报告书（表）及其审批部门审批决定、初步设计（环保篇）或环保设计方案、施工合同（环保部分）、环境监测报告或施工监理报告（环保部分）（若有）、工程竣工资料（环保部分）、验收报告（含验收监测报告（表）、验收意见和其他需要说明的事项）、信息公开记录证明（需要保密的除外）。建设单位委托技术机构编制验收监测报告的，还可把委托合同、责任约定等委托涉及的关键材料存入档案。建设单位成立验收工作组协助开展验收工作的，还可把验收工作组单位及成员名单、技术专家专长介绍等材料存入档案。</w:t>
            </w:r>
          </w:p>
        </w:tc>
      </w:tr>
      <w:bookmarkEnd w:id="58"/>
      <w:bookmarkEnd w:id="59"/>
      <w:bookmarkEnd w:id="60"/>
      <w:bookmarkEnd w:id="61"/>
      <w:bookmarkEnd w:id="62"/>
      <w:bookmarkEnd w:id="63"/>
    </w:tbl>
    <w:p>
      <w:pPr>
        <w:pageBreakBefore/>
        <w:spacing w:line="600" w:lineRule="exact"/>
        <w:outlineLvl w:val="0"/>
        <w:rPr>
          <w:b/>
          <w:sz w:val="32"/>
          <w:szCs w:val="32"/>
        </w:rPr>
      </w:pPr>
      <w:bookmarkStart w:id="68" w:name="_Toc262108330"/>
      <w:bookmarkStart w:id="69" w:name="_Toc263089122"/>
      <w:bookmarkStart w:id="70" w:name="_Toc263088975"/>
      <w:bookmarkStart w:id="71" w:name="_Toc514143752"/>
      <w:bookmarkStart w:id="72" w:name="_Toc457203539"/>
      <w:r>
        <w:rPr>
          <w:b/>
          <w:sz w:val="32"/>
          <w:szCs w:val="32"/>
        </w:rPr>
        <w:t>八、</w:t>
      </w:r>
      <w:bookmarkEnd w:id="68"/>
      <w:bookmarkEnd w:id="69"/>
      <w:bookmarkEnd w:id="70"/>
      <w:bookmarkEnd w:id="71"/>
      <w:bookmarkEnd w:id="72"/>
      <w:r>
        <w:rPr>
          <w:b/>
          <w:sz w:val="32"/>
          <w:szCs w:val="32"/>
        </w:rPr>
        <w:t>建设项目拟采取的防治措施及预期治理效果</w:t>
      </w:r>
    </w:p>
    <w:tbl>
      <w:tblPr>
        <w:tblStyle w:val="38"/>
        <w:tblW w:w="93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3"/>
        <w:gridCol w:w="1247"/>
        <w:gridCol w:w="2126"/>
        <w:gridCol w:w="2268"/>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23" w:type="dxa"/>
            <w:vAlign w:val="center"/>
          </w:tcPr>
          <w:p>
            <w:pPr>
              <w:jc w:val="center"/>
              <w:rPr>
                <w:szCs w:val="21"/>
              </w:rPr>
            </w:pPr>
            <w:bookmarkStart w:id="73" w:name="_Toc263088976"/>
            <w:bookmarkStart w:id="74" w:name="_Toc263089123"/>
            <w:bookmarkStart w:id="75" w:name="_Toc457203540"/>
            <w:bookmarkStart w:id="76" w:name="_Toc262108342"/>
            <w:r>
              <w:rPr>
                <w:szCs w:val="21"/>
              </w:rPr>
              <w:t>内容</w:t>
            </w:r>
          </w:p>
          <w:p>
            <w:pPr>
              <w:jc w:val="center"/>
              <w:rPr>
                <w:szCs w:val="21"/>
              </w:rPr>
            </w:pPr>
            <w:r>
              <w:rPr>
                <w:szCs w:val="21"/>
              </w:rPr>
              <w:t>类型</w:t>
            </w:r>
          </w:p>
        </w:tc>
        <w:tc>
          <w:tcPr>
            <w:tcW w:w="1247" w:type="dxa"/>
            <w:vAlign w:val="center"/>
          </w:tcPr>
          <w:p>
            <w:pPr>
              <w:jc w:val="center"/>
              <w:rPr>
                <w:szCs w:val="21"/>
              </w:rPr>
            </w:pPr>
            <w:r>
              <w:rPr>
                <w:szCs w:val="21"/>
              </w:rPr>
              <w:t>排放源</w:t>
            </w:r>
          </w:p>
        </w:tc>
        <w:tc>
          <w:tcPr>
            <w:tcW w:w="2126" w:type="dxa"/>
            <w:vAlign w:val="center"/>
          </w:tcPr>
          <w:p>
            <w:pPr>
              <w:jc w:val="center"/>
              <w:rPr>
                <w:szCs w:val="21"/>
              </w:rPr>
            </w:pPr>
            <w:r>
              <w:rPr>
                <w:szCs w:val="21"/>
              </w:rPr>
              <w:t>污染物名称</w:t>
            </w:r>
          </w:p>
        </w:tc>
        <w:tc>
          <w:tcPr>
            <w:tcW w:w="2268" w:type="dxa"/>
            <w:vAlign w:val="center"/>
          </w:tcPr>
          <w:p>
            <w:pPr>
              <w:jc w:val="center"/>
              <w:rPr>
                <w:szCs w:val="21"/>
              </w:rPr>
            </w:pPr>
            <w:r>
              <w:rPr>
                <w:szCs w:val="21"/>
              </w:rPr>
              <w:t>处理措施</w:t>
            </w:r>
          </w:p>
        </w:tc>
        <w:tc>
          <w:tcPr>
            <w:tcW w:w="2958" w:type="dxa"/>
            <w:vAlign w:val="center"/>
          </w:tcPr>
          <w:p>
            <w:pPr>
              <w:jc w:val="center"/>
              <w:rPr>
                <w:szCs w:val="21"/>
              </w:rPr>
            </w:pPr>
            <w:r>
              <w:rPr>
                <w:szCs w:val="21"/>
              </w:rPr>
              <w:t>预期处理效果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90" w:hRule="atLeast"/>
          <w:jc w:val="center"/>
        </w:trPr>
        <w:tc>
          <w:tcPr>
            <w:tcW w:w="723" w:type="dxa"/>
            <w:vMerge w:val="restart"/>
            <w:vAlign w:val="center"/>
          </w:tcPr>
          <w:p>
            <w:pPr>
              <w:jc w:val="center"/>
              <w:rPr>
                <w:szCs w:val="21"/>
              </w:rPr>
            </w:pPr>
            <w:r>
              <w:rPr>
                <w:szCs w:val="21"/>
              </w:rPr>
              <w:t>废水</w:t>
            </w:r>
          </w:p>
        </w:tc>
        <w:tc>
          <w:tcPr>
            <w:tcW w:w="1247" w:type="dxa"/>
            <w:vAlign w:val="center"/>
          </w:tcPr>
          <w:p>
            <w:pPr>
              <w:pStyle w:val="18"/>
              <w:jc w:val="center"/>
              <w:rPr>
                <w:rFonts w:ascii="Times New Roman" w:hAnsi="Times New Roman" w:cs="Times New Roman"/>
              </w:rPr>
            </w:pPr>
            <w:r>
              <w:rPr>
                <w:rFonts w:ascii="Times New Roman" w:hAnsi="Times New Roman" w:cs="Times New Roman"/>
              </w:rPr>
              <w:t>生活污水</w:t>
            </w:r>
          </w:p>
        </w:tc>
        <w:tc>
          <w:tcPr>
            <w:tcW w:w="2126" w:type="dxa"/>
            <w:vAlign w:val="center"/>
          </w:tcPr>
          <w:p>
            <w:pPr>
              <w:jc w:val="center"/>
              <w:rPr>
                <w:szCs w:val="21"/>
              </w:rPr>
            </w:pPr>
            <w:r>
              <w:rPr>
                <w:szCs w:val="21"/>
              </w:rPr>
              <w:t>COD、SS、</w:t>
            </w:r>
          </w:p>
          <w:p>
            <w:pPr>
              <w:jc w:val="center"/>
              <w:rPr>
                <w:szCs w:val="21"/>
              </w:rPr>
            </w:pPr>
            <w:r>
              <w:rPr>
                <w:szCs w:val="21"/>
              </w:rPr>
              <w:t>BOD</w:t>
            </w:r>
            <w:r>
              <w:rPr>
                <w:rStyle w:val="130"/>
                <w:color w:val="auto"/>
              </w:rPr>
              <w:t>5</w:t>
            </w:r>
            <w:r>
              <w:rPr>
                <w:szCs w:val="21"/>
              </w:rPr>
              <w:t>、NH</w:t>
            </w:r>
            <w:r>
              <w:rPr>
                <w:rStyle w:val="130"/>
                <w:color w:val="auto"/>
              </w:rPr>
              <w:t>3</w:t>
            </w:r>
            <w:r>
              <w:rPr>
                <w:rStyle w:val="116"/>
                <w:color w:val="auto"/>
              </w:rPr>
              <w:t>-N</w:t>
            </w:r>
          </w:p>
        </w:tc>
        <w:tc>
          <w:tcPr>
            <w:tcW w:w="2268" w:type="dxa"/>
            <w:vAlign w:val="center"/>
          </w:tcPr>
          <w:p>
            <w:pPr>
              <w:jc w:val="center"/>
              <w:rPr>
                <w:rFonts w:hint="eastAsia" w:eastAsia="宋体"/>
                <w:szCs w:val="21"/>
                <w:lang w:eastAsia="zh-CN"/>
              </w:rPr>
            </w:pPr>
            <w:r>
              <w:rPr>
                <w:rFonts w:hint="eastAsia"/>
                <w:szCs w:val="21"/>
              </w:rPr>
              <w:t>经化粪池</w:t>
            </w:r>
            <w:r>
              <w:rPr>
                <w:szCs w:val="21"/>
              </w:rPr>
              <w:t>处理后</w:t>
            </w:r>
            <w:r>
              <w:rPr>
                <w:rFonts w:hint="eastAsia"/>
                <w:szCs w:val="21"/>
                <w:lang w:eastAsia="zh-CN"/>
              </w:rPr>
              <w:t>用作农肥</w:t>
            </w:r>
          </w:p>
        </w:tc>
        <w:tc>
          <w:tcPr>
            <w:tcW w:w="2958" w:type="dxa"/>
            <w:vAlign w:val="center"/>
          </w:tcPr>
          <w:p>
            <w:pPr>
              <w:jc w:val="center"/>
              <w:rPr>
                <w:rFonts w:hint="eastAsia" w:eastAsia="宋体"/>
                <w:szCs w:val="21"/>
                <w:lang w:eastAsia="zh-CN"/>
              </w:rPr>
            </w:pPr>
            <w:r>
              <w:rPr>
                <w:rFonts w:hint="eastAsia"/>
                <w:i w:val="0"/>
                <w:iCs w:val="0"/>
                <w:szCs w:val="21"/>
                <w:u w:val="none"/>
                <w:lang w:eastAsia="zh-CN"/>
              </w:rPr>
              <w:t>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3" w:type="dxa"/>
            <w:vMerge w:val="continue"/>
            <w:vAlign w:val="center"/>
          </w:tcPr>
          <w:p>
            <w:pPr>
              <w:jc w:val="center"/>
              <w:rPr>
                <w:szCs w:val="21"/>
              </w:rPr>
            </w:pPr>
          </w:p>
        </w:tc>
        <w:tc>
          <w:tcPr>
            <w:tcW w:w="1247" w:type="dxa"/>
            <w:vAlign w:val="center"/>
          </w:tcPr>
          <w:p>
            <w:pPr>
              <w:pStyle w:val="18"/>
              <w:jc w:val="center"/>
              <w:rPr>
                <w:rFonts w:ascii="Times New Roman" w:hAnsi="Times New Roman" w:cs="Times New Roman"/>
              </w:rPr>
            </w:pPr>
            <w:r>
              <w:rPr>
                <w:rFonts w:ascii="Times New Roman" w:hAnsi="Times New Roman" w:cs="Times New Roman"/>
              </w:rPr>
              <w:t>生产废水</w:t>
            </w:r>
          </w:p>
        </w:tc>
        <w:tc>
          <w:tcPr>
            <w:tcW w:w="2126" w:type="dxa"/>
            <w:vAlign w:val="center"/>
          </w:tcPr>
          <w:p>
            <w:pPr>
              <w:jc w:val="center"/>
              <w:rPr>
                <w:szCs w:val="21"/>
              </w:rPr>
            </w:pPr>
            <w:r>
              <w:rPr>
                <w:szCs w:val="21"/>
              </w:rPr>
              <w:t>--</w:t>
            </w:r>
          </w:p>
        </w:tc>
        <w:tc>
          <w:tcPr>
            <w:tcW w:w="2268" w:type="dxa"/>
            <w:vAlign w:val="center"/>
          </w:tcPr>
          <w:p>
            <w:pPr>
              <w:jc w:val="center"/>
              <w:rPr>
                <w:szCs w:val="21"/>
              </w:rPr>
            </w:pPr>
            <w:r>
              <w:rPr>
                <w:szCs w:val="21"/>
              </w:rPr>
              <w:t>循环使用不外排</w:t>
            </w:r>
          </w:p>
        </w:tc>
        <w:tc>
          <w:tcPr>
            <w:tcW w:w="2958" w:type="dxa"/>
            <w:vAlign w:val="center"/>
          </w:tcPr>
          <w:p>
            <w:pPr>
              <w:jc w:val="center"/>
              <w:rPr>
                <w:szCs w:val="21"/>
              </w:rPr>
            </w:pPr>
            <w:r>
              <w:rPr>
                <w:szCs w:val="21"/>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723" w:type="dxa"/>
            <w:vAlign w:val="center"/>
          </w:tcPr>
          <w:p>
            <w:pPr>
              <w:jc w:val="center"/>
              <w:rPr>
                <w:szCs w:val="21"/>
              </w:rPr>
            </w:pPr>
            <w:r>
              <w:rPr>
                <w:szCs w:val="21"/>
              </w:rPr>
              <w:t>废气</w:t>
            </w:r>
          </w:p>
        </w:tc>
        <w:tc>
          <w:tcPr>
            <w:tcW w:w="1247" w:type="dxa"/>
            <w:vAlign w:val="center"/>
          </w:tcPr>
          <w:p>
            <w:pPr>
              <w:pStyle w:val="18"/>
              <w:jc w:val="center"/>
              <w:rPr>
                <w:rFonts w:ascii="Times New Roman" w:hAnsi="Times New Roman" w:cs="Times New Roman"/>
              </w:rPr>
            </w:pPr>
            <w:r>
              <w:rPr>
                <w:rFonts w:ascii="Times New Roman" w:hAnsi="Times New Roman" w:cs="Times New Roman"/>
              </w:rPr>
              <w:t>打磨、</w:t>
            </w:r>
            <w:r>
              <w:rPr>
                <w:rFonts w:hint="eastAsia" w:ascii="Times New Roman" w:hAnsi="Times New Roman" w:cs="Times New Roman"/>
                <w:lang w:eastAsia="zh-CN"/>
              </w:rPr>
              <w:t>抛丸</w:t>
            </w:r>
            <w:r>
              <w:rPr>
                <w:rFonts w:ascii="Times New Roman" w:hAnsi="Times New Roman" w:cs="Times New Roman"/>
              </w:rPr>
              <w:t>、抛光</w:t>
            </w:r>
          </w:p>
        </w:tc>
        <w:tc>
          <w:tcPr>
            <w:tcW w:w="2126" w:type="dxa"/>
            <w:vAlign w:val="center"/>
          </w:tcPr>
          <w:p>
            <w:pPr>
              <w:jc w:val="center"/>
              <w:rPr>
                <w:szCs w:val="21"/>
              </w:rPr>
            </w:pPr>
            <w:r>
              <w:rPr>
                <w:szCs w:val="21"/>
              </w:rPr>
              <w:t>颗粒物</w:t>
            </w:r>
          </w:p>
        </w:tc>
        <w:tc>
          <w:tcPr>
            <w:tcW w:w="2268" w:type="dxa"/>
            <w:vAlign w:val="center"/>
          </w:tcPr>
          <w:p>
            <w:pPr>
              <w:jc w:val="center"/>
            </w:pPr>
            <w:r>
              <w:rPr>
                <w:rFonts w:hint="eastAsia"/>
              </w:rPr>
              <w:t>打磨</w:t>
            </w:r>
            <w:r>
              <w:t>粉尘经</w:t>
            </w:r>
            <w:r>
              <w:rPr>
                <w:rFonts w:hint="eastAsia"/>
                <w:lang w:eastAsia="zh-CN"/>
              </w:rPr>
              <w:t>湿法</w:t>
            </w:r>
            <w:r>
              <w:t>除尘</w:t>
            </w:r>
            <w:r>
              <w:rPr>
                <w:rFonts w:hint="eastAsia"/>
                <w:lang w:eastAsia="zh-CN"/>
              </w:rPr>
              <w:t>系统处理</w:t>
            </w:r>
            <w:r>
              <w:rPr>
                <w:rFonts w:hint="eastAsia"/>
              </w:rPr>
              <w:t>，</w:t>
            </w:r>
            <w:r>
              <w:rPr>
                <w:rFonts w:hint="eastAsia"/>
                <w:lang w:eastAsia="zh-CN"/>
              </w:rPr>
              <w:t>抛丸</w:t>
            </w:r>
            <w:r>
              <w:t>粉尘经自配除尘器收</w:t>
            </w:r>
            <w:r>
              <w:rPr>
                <w:rFonts w:hint="eastAsia"/>
                <w:lang w:eastAsia="zh-CN"/>
              </w:rPr>
              <w:t>处理</w:t>
            </w:r>
            <w:r>
              <w:t>，</w:t>
            </w:r>
            <w:r>
              <w:rPr>
                <w:rFonts w:hint="eastAsia"/>
              </w:rPr>
              <w:t>抛光粉尘</w:t>
            </w:r>
            <w:r>
              <w:t>经</w:t>
            </w:r>
            <w:r>
              <w:rPr>
                <w:rFonts w:hint="eastAsia"/>
                <w:lang w:eastAsia="zh-CN"/>
              </w:rPr>
              <w:t>湿法</w:t>
            </w:r>
            <w:r>
              <w:t>除尘</w:t>
            </w:r>
            <w:r>
              <w:rPr>
                <w:rFonts w:hint="eastAsia"/>
                <w:lang w:eastAsia="zh-CN"/>
              </w:rPr>
              <w:t>系统处理，</w:t>
            </w:r>
            <w:r>
              <w:t>在车间内无组织排放</w:t>
            </w:r>
          </w:p>
        </w:tc>
        <w:tc>
          <w:tcPr>
            <w:tcW w:w="2958" w:type="dxa"/>
            <w:vAlign w:val="center"/>
          </w:tcPr>
          <w:p>
            <w:pPr>
              <w:jc w:val="center"/>
              <w:rPr>
                <w:szCs w:val="21"/>
              </w:rPr>
            </w:pPr>
            <w:r>
              <w:rPr>
                <w:szCs w:val="21"/>
              </w:rPr>
              <w:t>无组织颗粒满足《大气污染物综合排放标准》（GB16297-1996）周界外浓度最高点排放限值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723" w:type="dxa"/>
            <w:vMerge w:val="restart"/>
            <w:vAlign w:val="center"/>
          </w:tcPr>
          <w:p>
            <w:pPr>
              <w:jc w:val="center"/>
              <w:rPr>
                <w:szCs w:val="21"/>
              </w:rPr>
            </w:pPr>
            <w:r>
              <w:rPr>
                <w:szCs w:val="21"/>
              </w:rPr>
              <w:t>固</w:t>
            </w:r>
          </w:p>
          <w:p>
            <w:pPr>
              <w:jc w:val="center"/>
              <w:rPr>
                <w:szCs w:val="21"/>
              </w:rPr>
            </w:pPr>
            <w:r>
              <w:rPr>
                <w:szCs w:val="21"/>
              </w:rPr>
              <w:t>废</w:t>
            </w:r>
          </w:p>
        </w:tc>
        <w:tc>
          <w:tcPr>
            <w:tcW w:w="1247" w:type="dxa"/>
            <w:vMerge w:val="restart"/>
            <w:vAlign w:val="center"/>
          </w:tcPr>
          <w:p>
            <w:pPr>
              <w:jc w:val="center"/>
              <w:rPr>
                <w:szCs w:val="21"/>
              </w:rPr>
            </w:pPr>
            <w:r>
              <w:rPr>
                <w:szCs w:val="21"/>
              </w:rPr>
              <w:t>生产区</w:t>
            </w:r>
          </w:p>
        </w:tc>
        <w:tc>
          <w:tcPr>
            <w:tcW w:w="2126" w:type="dxa"/>
            <w:vAlign w:val="center"/>
          </w:tcPr>
          <w:p>
            <w:pPr>
              <w:pStyle w:val="77"/>
              <w:rPr>
                <w:rFonts w:hint="eastAsia" w:eastAsia="宋体"/>
                <w:szCs w:val="21"/>
                <w:lang w:eastAsia="zh-CN"/>
              </w:rPr>
            </w:pPr>
            <w:r>
              <w:rPr>
                <w:rFonts w:hint="eastAsia"/>
                <w:szCs w:val="21"/>
                <w:lang w:eastAsia="zh-CN"/>
              </w:rPr>
              <w:t>除尘系统收集粉尘</w:t>
            </w:r>
          </w:p>
        </w:tc>
        <w:tc>
          <w:tcPr>
            <w:tcW w:w="2268" w:type="dxa"/>
            <w:vAlign w:val="center"/>
          </w:tcPr>
          <w:p>
            <w:pPr>
              <w:jc w:val="center"/>
              <w:rPr>
                <w:szCs w:val="21"/>
              </w:rPr>
            </w:pPr>
            <w:r>
              <w:rPr>
                <w:rFonts w:hint="eastAsia"/>
                <w:szCs w:val="21"/>
              </w:rPr>
              <w:t>集中收集</w:t>
            </w:r>
            <w:r>
              <w:rPr>
                <w:szCs w:val="21"/>
              </w:rPr>
              <w:t>，送至废品站单位处理</w:t>
            </w:r>
          </w:p>
        </w:tc>
        <w:tc>
          <w:tcPr>
            <w:tcW w:w="2958" w:type="dxa"/>
            <w:vMerge w:val="restart"/>
            <w:vAlign w:val="center"/>
          </w:tcPr>
          <w:p>
            <w:pPr>
              <w:jc w:val="center"/>
              <w:rPr>
                <w:szCs w:val="21"/>
              </w:rPr>
            </w:pPr>
            <w:r>
              <w:rPr>
                <w:bCs/>
                <w:szCs w:val="21"/>
              </w:rPr>
              <w:t>达到《一般工业固体废物贮存、处置场污染控制标准》(GB18599-2001)要求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723" w:type="dxa"/>
            <w:vMerge w:val="continue"/>
            <w:vAlign w:val="center"/>
          </w:tcPr>
          <w:p>
            <w:pPr>
              <w:jc w:val="center"/>
              <w:rPr>
                <w:szCs w:val="21"/>
              </w:rPr>
            </w:pPr>
          </w:p>
        </w:tc>
        <w:tc>
          <w:tcPr>
            <w:tcW w:w="1247" w:type="dxa"/>
            <w:vMerge w:val="continue"/>
            <w:vAlign w:val="center"/>
          </w:tcPr>
          <w:p>
            <w:pPr>
              <w:jc w:val="center"/>
              <w:rPr>
                <w:szCs w:val="21"/>
              </w:rPr>
            </w:pPr>
          </w:p>
        </w:tc>
        <w:tc>
          <w:tcPr>
            <w:tcW w:w="2126" w:type="dxa"/>
            <w:vAlign w:val="center"/>
          </w:tcPr>
          <w:p>
            <w:pPr>
              <w:pStyle w:val="77"/>
              <w:rPr>
                <w:szCs w:val="21"/>
              </w:rPr>
            </w:pPr>
            <w:r>
              <w:rPr>
                <w:rFonts w:hint="eastAsia"/>
                <w:szCs w:val="21"/>
              </w:rPr>
              <w:t>金属</w:t>
            </w:r>
            <w:r>
              <w:rPr>
                <w:szCs w:val="21"/>
              </w:rPr>
              <w:t>边角料</w:t>
            </w:r>
          </w:p>
        </w:tc>
        <w:tc>
          <w:tcPr>
            <w:tcW w:w="2268" w:type="dxa"/>
            <w:vAlign w:val="center"/>
          </w:tcPr>
          <w:p>
            <w:pPr>
              <w:jc w:val="center"/>
              <w:rPr>
                <w:szCs w:val="21"/>
              </w:rPr>
            </w:pPr>
            <w:r>
              <w:rPr>
                <w:rFonts w:hint="eastAsia"/>
                <w:szCs w:val="21"/>
              </w:rPr>
              <w:t>集中收集</w:t>
            </w:r>
            <w:r>
              <w:rPr>
                <w:szCs w:val="21"/>
              </w:rPr>
              <w:t>，送至废品站单位处理</w:t>
            </w:r>
          </w:p>
        </w:tc>
        <w:tc>
          <w:tcPr>
            <w:tcW w:w="2958" w:type="dxa"/>
            <w:vMerge w:val="continue"/>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723" w:type="dxa"/>
            <w:vMerge w:val="continue"/>
            <w:vAlign w:val="center"/>
          </w:tcPr>
          <w:p>
            <w:pPr>
              <w:jc w:val="center"/>
              <w:rPr>
                <w:szCs w:val="21"/>
              </w:rPr>
            </w:pPr>
          </w:p>
        </w:tc>
        <w:tc>
          <w:tcPr>
            <w:tcW w:w="1247" w:type="dxa"/>
            <w:vMerge w:val="continue"/>
            <w:vAlign w:val="center"/>
          </w:tcPr>
          <w:p>
            <w:pPr>
              <w:jc w:val="center"/>
              <w:rPr>
                <w:szCs w:val="21"/>
              </w:rPr>
            </w:pPr>
          </w:p>
        </w:tc>
        <w:tc>
          <w:tcPr>
            <w:tcW w:w="2126" w:type="dxa"/>
            <w:vAlign w:val="center"/>
          </w:tcPr>
          <w:p>
            <w:pPr>
              <w:pStyle w:val="77"/>
              <w:rPr>
                <w:szCs w:val="21"/>
              </w:rPr>
            </w:pPr>
            <w:r>
              <w:rPr>
                <w:rFonts w:hint="eastAsia"/>
                <w:szCs w:val="21"/>
              </w:rPr>
              <w:t>废</w:t>
            </w:r>
            <w:r>
              <w:rPr>
                <w:szCs w:val="21"/>
              </w:rPr>
              <w:t>砂子</w:t>
            </w:r>
            <w:r>
              <w:rPr>
                <w:rFonts w:hint="eastAsia"/>
                <w:szCs w:val="21"/>
              </w:rPr>
              <w:t>及</w:t>
            </w:r>
            <w:r>
              <w:rPr>
                <w:szCs w:val="21"/>
              </w:rPr>
              <w:t>除尘器收集粉尘</w:t>
            </w:r>
          </w:p>
        </w:tc>
        <w:tc>
          <w:tcPr>
            <w:tcW w:w="2268" w:type="dxa"/>
            <w:vAlign w:val="center"/>
          </w:tcPr>
          <w:p>
            <w:pPr>
              <w:jc w:val="center"/>
              <w:rPr>
                <w:szCs w:val="21"/>
              </w:rPr>
            </w:pPr>
            <w:r>
              <w:rPr>
                <w:rFonts w:hint="eastAsia"/>
                <w:szCs w:val="21"/>
              </w:rPr>
              <w:t>集中</w:t>
            </w:r>
            <w:r>
              <w:rPr>
                <w:szCs w:val="21"/>
              </w:rPr>
              <w:t>收集，堆放至指定场地</w:t>
            </w:r>
          </w:p>
        </w:tc>
        <w:tc>
          <w:tcPr>
            <w:tcW w:w="2958" w:type="dxa"/>
            <w:vMerge w:val="continue"/>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723" w:type="dxa"/>
            <w:vMerge w:val="continue"/>
            <w:vAlign w:val="center"/>
          </w:tcPr>
          <w:p>
            <w:pPr>
              <w:jc w:val="center"/>
              <w:rPr>
                <w:szCs w:val="21"/>
              </w:rPr>
            </w:pPr>
          </w:p>
        </w:tc>
        <w:tc>
          <w:tcPr>
            <w:tcW w:w="1247" w:type="dxa"/>
            <w:vMerge w:val="continue"/>
            <w:vAlign w:val="center"/>
          </w:tcPr>
          <w:p>
            <w:pPr>
              <w:jc w:val="center"/>
              <w:rPr>
                <w:szCs w:val="21"/>
              </w:rPr>
            </w:pPr>
          </w:p>
        </w:tc>
        <w:tc>
          <w:tcPr>
            <w:tcW w:w="2126" w:type="dxa"/>
            <w:vAlign w:val="center"/>
          </w:tcPr>
          <w:p>
            <w:pPr>
              <w:pStyle w:val="77"/>
              <w:rPr>
                <w:szCs w:val="21"/>
              </w:rPr>
            </w:pPr>
            <w:r>
              <w:rPr>
                <w:rFonts w:hint="eastAsia"/>
                <w:szCs w:val="21"/>
              </w:rPr>
              <w:t>沉淀池</w:t>
            </w:r>
            <w:r>
              <w:rPr>
                <w:szCs w:val="21"/>
              </w:rPr>
              <w:t>沉渣</w:t>
            </w:r>
          </w:p>
        </w:tc>
        <w:tc>
          <w:tcPr>
            <w:tcW w:w="2268" w:type="dxa"/>
            <w:vAlign w:val="center"/>
          </w:tcPr>
          <w:p>
            <w:pPr>
              <w:jc w:val="center"/>
              <w:rPr>
                <w:rFonts w:hint="eastAsia" w:eastAsia="宋体"/>
                <w:szCs w:val="21"/>
                <w:lang w:eastAsia="zh-CN"/>
              </w:rPr>
            </w:pPr>
            <w:r>
              <w:rPr>
                <w:rFonts w:hint="eastAsia"/>
                <w:lang w:eastAsia="zh-CN"/>
              </w:rPr>
              <w:t>定期经压滤机压滤后，送往垃圾填埋场处理</w:t>
            </w:r>
          </w:p>
        </w:tc>
        <w:tc>
          <w:tcPr>
            <w:tcW w:w="2958" w:type="dxa"/>
            <w:vMerge w:val="continue"/>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723" w:type="dxa"/>
            <w:vMerge w:val="continue"/>
            <w:vAlign w:val="center"/>
          </w:tcPr>
          <w:p>
            <w:pPr>
              <w:jc w:val="center"/>
              <w:rPr>
                <w:szCs w:val="21"/>
              </w:rPr>
            </w:pPr>
          </w:p>
        </w:tc>
        <w:tc>
          <w:tcPr>
            <w:tcW w:w="1247" w:type="dxa"/>
            <w:vMerge w:val="continue"/>
            <w:vAlign w:val="center"/>
          </w:tcPr>
          <w:p>
            <w:pPr>
              <w:jc w:val="center"/>
              <w:rPr>
                <w:szCs w:val="21"/>
              </w:rPr>
            </w:pPr>
          </w:p>
        </w:tc>
        <w:tc>
          <w:tcPr>
            <w:tcW w:w="2126" w:type="dxa"/>
            <w:vAlign w:val="center"/>
          </w:tcPr>
          <w:p>
            <w:pPr>
              <w:pStyle w:val="77"/>
              <w:rPr>
                <w:rFonts w:hint="eastAsia" w:eastAsia="宋体"/>
                <w:szCs w:val="21"/>
                <w:lang w:eastAsia="zh-CN"/>
              </w:rPr>
            </w:pPr>
            <w:r>
              <w:rPr>
                <w:rFonts w:hint="eastAsia"/>
                <w:szCs w:val="21"/>
              </w:rPr>
              <w:t>废</w:t>
            </w:r>
            <w:r>
              <w:rPr>
                <w:szCs w:val="21"/>
              </w:rPr>
              <w:t>润滑油</w:t>
            </w:r>
          </w:p>
        </w:tc>
        <w:tc>
          <w:tcPr>
            <w:tcW w:w="2268" w:type="dxa"/>
            <w:vAlign w:val="center"/>
          </w:tcPr>
          <w:p>
            <w:pPr>
              <w:jc w:val="center"/>
              <w:rPr>
                <w:szCs w:val="21"/>
              </w:rPr>
            </w:pPr>
            <w:r>
              <w:t>经专门的收集桶收集后放置在危废暂存间中暂存，须按危险废物管理有关规定送至有资质的单位进行无害化处理</w:t>
            </w:r>
          </w:p>
        </w:tc>
        <w:tc>
          <w:tcPr>
            <w:tcW w:w="2958" w:type="dxa"/>
            <w:vAlign w:val="center"/>
          </w:tcPr>
          <w:p>
            <w:pPr>
              <w:jc w:val="center"/>
              <w:rPr>
                <w:bCs/>
                <w:szCs w:val="21"/>
              </w:rPr>
            </w:pPr>
            <w:r>
              <w:rPr>
                <w:bCs/>
                <w:szCs w:val="21"/>
              </w:rPr>
              <w:t>达到《危险废物贮存污染控制控制标准》（GB18597-2001）要求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23" w:type="dxa"/>
            <w:vMerge w:val="continue"/>
            <w:vAlign w:val="center"/>
          </w:tcPr>
          <w:p>
            <w:pPr>
              <w:jc w:val="center"/>
              <w:rPr>
                <w:szCs w:val="21"/>
              </w:rPr>
            </w:pPr>
          </w:p>
        </w:tc>
        <w:tc>
          <w:tcPr>
            <w:tcW w:w="1247" w:type="dxa"/>
            <w:vMerge w:val="continue"/>
            <w:vAlign w:val="center"/>
          </w:tcPr>
          <w:p>
            <w:pPr>
              <w:jc w:val="center"/>
              <w:rPr>
                <w:szCs w:val="21"/>
              </w:rPr>
            </w:pPr>
          </w:p>
        </w:tc>
        <w:tc>
          <w:tcPr>
            <w:tcW w:w="2126" w:type="dxa"/>
            <w:vAlign w:val="center"/>
          </w:tcPr>
          <w:p>
            <w:pPr>
              <w:pStyle w:val="77"/>
              <w:rPr>
                <w:szCs w:val="21"/>
              </w:rPr>
            </w:pPr>
            <w:r>
              <w:rPr>
                <w:szCs w:val="21"/>
              </w:rPr>
              <w:t>生活垃圾</w:t>
            </w:r>
          </w:p>
        </w:tc>
        <w:tc>
          <w:tcPr>
            <w:tcW w:w="2268" w:type="dxa"/>
            <w:vAlign w:val="center"/>
          </w:tcPr>
          <w:p>
            <w:pPr>
              <w:jc w:val="center"/>
              <w:rPr>
                <w:szCs w:val="21"/>
              </w:rPr>
            </w:pPr>
            <w:r>
              <w:rPr>
                <w:szCs w:val="21"/>
              </w:rPr>
              <w:t>集中收集交由环卫门处理</w:t>
            </w:r>
          </w:p>
        </w:tc>
        <w:tc>
          <w:tcPr>
            <w:tcW w:w="2958" w:type="dxa"/>
            <w:vAlign w:val="center"/>
          </w:tcPr>
          <w:p>
            <w:pPr>
              <w:jc w:val="center"/>
              <w:rPr>
                <w:szCs w:val="21"/>
              </w:rPr>
            </w:pPr>
            <w:r>
              <w:rPr>
                <w:szCs w:val="21"/>
              </w:rPr>
              <w:t>达到环保要求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23" w:type="dxa"/>
            <w:vAlign w:val="center"/>
          </w:tcPr>
          <w:p>
            <w:pPr>
              <w:jc w:val="center"/>
              <w:rPr>
                <w:szCs w:val="21"/>
              </w:rPr>
            </w:pPr>
            <w:r>
              <w:rPr>
                <w:szCs w:val="21"/>
              </w:rPr>
              <w:t>噪声</w:t>
            </w:r>
          </w:p>
        </w:tc>
        <w:tc>
          <w:tcPr>
            <w:tcW w:w="8599" w:type="dxa"/>
            <w:gridSpan w:val="4"/>
            <w:vAlign w:val="center"/>
          </w:tcPr>
          <w:p>
            <w:pPr>
              <w:jc w:val="center"/>
              <w:rPr>
                <w:szCs w:val="21"/>
              </w:rPr>
            </w:pPr>
            <w:r>
              <w:rPr>
                <w:szCs w:val="21"/>
              </w:rPr>
              <w:t>项目采用低噪音设备、采取</w:t>
            </w:r>
            <w:r>
              <w:rPr>
                <w:spacing w:val="6"/>
                <w:szCs w:val="21"/>
              </w:rPr>
              <w:t>隔声、消声、减振，</w:t>
            </w:r>
            <w:r>
              <w:rPr>
                <w:szCs w:val="21"/>
              </w:rPr>
              <w:t>达到《工业企业厂界环境噪声排放标准》（GB12348-2008）中</w:t>
            </w:r>
            <w:r>
              <w:rPr>
                <w:rFonts w:hint="eastAsia"/>
                <w:szCs w:val="21"/>
                <w:lang w:val="en-US" w:eastAsia="zh-CN"/>
              </w:rPr>
              <w:t>2</w:t>
            </w:r>
            <w:r>
              <w:rPr>
                <w:szCs w:val="21"/>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322" w:type="dxa"/>
            <w:gridSpan w:val="5"/>
            <w:vAlign w:val="center"/>
          </w:tcPr>
          <w:p>
            <w:pPr>
              <w:adjustRightInd w:val="0"/>
              <w:snapToGrid w:val="0"/>
              <w:spacing w:line="360" w:lineRule="auto"/>
              <w:jc w:val="left"/>
              <w:rPr>
                <w:b/>
                <w:bCs/>
                <w:szCs w:val="21"/>
              </w:rPr>
            </w:pPr>
            <w:r>
              <w:rPr>
                <w:b/>
                <w:bCs/>
                <w:szCs w:val="21"/>
              </w:rPr>
              <w:t>主要生态影响（不够时可附另页）：</w:t>
            </w:r>
          </w:p>
          <w:p>
            <w:pPr>
              <w:adjustRightInd w:val="0"/>
              <w:snapToGrid w:val="0"/>
              <w:spacing w:line="360" w:lineRule="auto"/>
              <w:ind w:firstLine="420" w:firstLineChars="200"/>
              <w:jc w:val="left"/>
              <w:rPr>
                <w:szCs w:val="21"/>
              </w:rPr>
            </w:pPr>
            <w:r>
              <w:rPr>
                <w:szCs w:val="21"/>
              </w:rPr>
              <w:t>本项目位于湖南省邵阳市</w:t>
            </w:r>
            <w:r>
              <w:rPr>
                <w:rFonts w:hint="eastAsia"/>
                <w:szCs w:val="21"/>
                <w:lang w:eastAsia="zh-CN"/>
              </w:rPr>
              <w:t>邵东市仙槎桥镇平阳村</w:t>
            </w:r>
            <w:r>
              <w:rPr>
                <w:szCs w:val="21"/>
              </w:rPr>
              <w:t>，为已建厂房，不新开发土地，对生态环境影响</w:t>
            </w:r>
            <w:r>
              <w:rPr>
                <w:rFonts w:hint="eastAsia"/>
                <w:szCs w:val="21"/>
                <w:lang w:eastAsia="zh-CN"/>
              </w:rPr>
              <w:t>很小</w:t>
            </w:r>
            <w:r>
              <w:rPr>
                <w:szCs w:val="21"/>
              </w:rPr>
              <w:t>。</w:t>
            </w:r>
          </w:p>
          <w:p>
            <w:pPr>
              <w:pStyle w:val="12"/>
            </w:pPr>
          </w:p>
          <w:p>
            <w:pPr>
              <w:pStyle w:val="12"/>
            </w:pPr>
          </w:p>
          <w:p>
            <w:pPr>
              <w:pStyle w:val="12"/>
            </w:pPr>
          </w:p>
          <w:p>
            <w:pPr>
              <w:pStyle w:val="12"/>
            </w:pPr>
          </w:p>
        </w:tc>
      </w:tr>
    </w:tbl>
    <w:p>
      <w:pPr>
        <w:pageBreakBefore/>
        <w:spacing w:line="600" w:lineRule="exact"/>
        <w:outlineLvl w:val="0"/>
        <w:rPr>
          <w:b/>
          <w:sz w:val="32"/>
          <w:szCs w:val="32"/>
        </w:rPr>
      </w:pPr>
      <w:bookmarkStart w:id="77" w:name="_Toc514143753"/>
      <w:r>
        <w:rPr>
          <w:b/>
          <w:sz w:val="32"/>
          <w:szCs w:val="32"/>
        </w:rPr>
        <w:t>九、结论与建议</w:t>
      </w:r>
      <w:bookmarkEnd w:id="73"/>
      <w:bookmarkEnd w:id="74"/>
      <w:bookmarkEnd w:id="75"/>
      <w:bookmarkEnd w:id="76"/>
      <w:bookmarkEnd w:id="77"/>
    </w:p>
    <w:tbl>
      <w:tblPr>
        <w:tblStyle w:val="38"/>
        <w:tblW w:w="93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310" w:type="dxa"/>
            <w:vAlign w:val="top"/>
          </w:tcPr>
          <w:p>
            <w:pPr>
              <w:adjustRightInd w:val="0"/>
              <w:snapToGrid w:val="0"/>
              <w:spacing w:line="360" w:lineRule="auto"/>
              <w:ind w:firstLine="562" w:firstLineChars="200"/>
              <w:rPr>
                <w:b/>
                <w:sz w:val="28"/>
                <w:szCs w:val="28"/>
              </w:rPr>
            </w:pPr>
            <w:bookmarkStart w:id="78" w:name="_Toc263088977"/>
            <w:bookmarkStart w:id="79" w:name="_Toc262108343"/>
            <w:bookmarkStart w:id="80" w:name="_Toc263089124"/>
            <w:bookmarkStart w:id="81" w:name="_Toc457203541"/>
            <w:r>
              <w:rPr>
                <w:b/>
                <w:sz w:val="28"/>
                <w:szCs w:val="28"/>
              </w:rPr>
              <w:t>（一）结论</w:t>
            </w:r>
          </w:p>
          <w:p>
            <w:pPr>
              <w:adjustRightInd w:val="0"/>
              <w:snapToGrid w:val="0"/>
              <w:spacing w:line="360" w:lineRule="auto"/>
              <w:ind w:firstLine="482" w:firstLineChars="200"/>
              <w:rPr>
                <w:b/>
                <w:sz w:val="24"/>
              </w:rPr>
            </w:pPr>
            <w:r>
              <w:rPr>
                <w:b/>
                <w:sz w:val="24"/>
              </w:rPr>
              <w:t>1、项目概况</w:t>
            </w:r>
          </w:p>
          <w:p>
            <w:pPr>
              <w:spacing w:line="360" w:lineRule="auto"/>
              <w:ind w:firstLine="480" w:firstLineChars="200"/>
              <w:rPr>
                <w:sz w:val="24"/>
              </w:rPr>
            </w:pPr>
            <w:r>
              <w:rPr>
                <w:sz w:val="24"/>
              </w:rPr>
              <w:t>1、项目概括</w:t>
            </w:r>
          </w:p>
          <w:p>
            <w:pPr>
              <w:spacing w:line="360" w:lineRule="auto"/>
              <w:ind w:firstLine="480" w:firstLineChars="200"/>
              <w:rPr>
                <w:sz w:val="24"/>
              </w:rPr>
            </w:pPr>
            <w:r>
              <w:rPr>
                <w:sz w:val="24"/>
              </w:rPr>
              <w:t>项目名称：年</w:t>
            </w:r>
            <w:r>
              <w:rPr>
                <w:rFonts w:hint="eastAsia"/>
                <w:sz w:val="24"/>
              </w:rPr>
              <w:t>产</w:t>
            </w:r>
            <w:r>
              <w:rPr>
                <w:rFonts w:hint="eastAsia"/>
                <w:sz w:val="24"/>
                <w:lang w:eastAsia="zh-CN"/>
              </w:rPr>
              <w:t>180万</w:t>
            </w:r>
            <w:r>
              <w:rPr>
                <w:rFonts w:hint="eastAsia"/>
                <w:sz w:val="24"/>
              </w:rPr>
              <w:t>把</w:t>
            </w:r>
            <w:r>
              <w:rPr>
                <w:sz w:val="24"/>
              </w:rPr>
              <w:t>扳手生产线建设项目</w:t>
            </w:r>
          </w:p>
          <w:p>
            <w:pPr>
              <w:spacing w:line="360" w:lineRule="auto"/>
              <w:ind w:firstLine="480" w:firstLineChars="200"/>
              <w:rPr>
                <w:rFonts w:hint="eastAsia" w:eastAsia="宋体"/>
                <w:sz w:val="24"/>
                <w:lang w:eastAsia="zh-CN"/>
              </w:rPr>
            </w:pPr>
            <w:r>
              <w:rPr>
                <w:sz w:val="24"/>
              </w:rPr>
              <w:t>建设单位：</w:t>
            </w:r>
            <w:r>
              <w:rPr>
                <w:rFonts w:hint="eastAsia"/>
                <w:sz w:val="24"/>
                <w:lang w:eastAsia="zh-CN"/>
              </w:rPr>
              <w:t>邵东县兴顺五金工具厂</w:t>
            </w:r>
          </w:p>
          <w:p>
            <w:pPr>
              <w:spacing w:line="360" w:lineRule="auto"/>
              <w:ind w:firstLine="480" w:firstLineChars="200"/>
              <w:rPr>
                <w:rFonts w:hint="eastAsia" w:eastAsia="宋体"/>
                <w:sz w:val="24"/>
                <w:lang w:eastAsia="zh-CN"/>
              </w:rPr>
            </w:pPr>
            <w:r>
              <w:rPr>
                <w:sz w:val="24"/>
              </w:rPr>
              <w:t>建设地点：湖南省邵阳市</w:t>
            </w:r>
            <w:r>
              <w:rPr>
                <w:rFonts w:hint="eastAsia"/>
                <w:sz w:val="24"/>
                <w:lang w:eastAsia="zh-CN"/>
              </w:rPr>
              <w:t>邵东市仙槎桥镇平阳村</w:t>
            </w:r>
          </w:p>
          <w:p>
            <w:pPr>
              <w:spacing w:line="360" w:lineRule="auto"/>
              <w:ind w:firstLine="480" w:firstLineChars="200"/>
              <w:rPr>
                <w:sz w:val="24"/>
              </w:rPr>
            </w:pPr>
            <w:r>
              <w:rPr>
                <w:sz w:val="24"/>
              </w:rPr>
              <w:t>建设性质：新建</w:t>
            </w:r>
          </w:p>
          <w:p>
            <w:pPr>
              <w:spacing w:line="360" w:lineRule="auto"/>
              <w:ind w:firstLine="480" w:firstLineChars="200"/>
              <w:rPr>
                <w:sz w:val="24"/>
                <w:vertAlign w:val="superscript"/>
              </w:rPr>
            </w:pPr>
            <w:r>
              <w:rPr>
                <w:sz w:val="24"/>
              </w:rPr>
              <w:t>占地面积：</w:t>
            </w:r>
            <w:r>
              <w:rPr>
                <w:rFonts w:hint="eastAsia"/>
                <w:sz w:val="24"/>
                <w:lang w:val="en-US" w:eastAsia="zh-CN"/>
              </w:rPr>
              <w:t>1600</w:t>
            </w:r>
            <w:r>
              <w:rPr>
                <w:sz w:val="24"/>
              </w:rPr>
              <w:t>m</w:t>
            </w:r>
            <w:r>
              <w:rPr>
                <w:sz w:val="24"/>
                <w:vertAlign w:val="superscript"/>
              </w:rPr>
              <w:t>2</w:t>
            </w:r>
          </w:p>
          <w:p>
            <w:pPr>
              <w:spacing w:line="360" w:lineRule="auto"/>
              <w:ind w:firstLine="480" w:firstLineChars="200"/>
              <w:rPr>
                <w:sz w:val="24"/>
              </w:rPr>
            </w:pPr>
            <w:r>
              <w:rPr>
                <w:sz w:val="24"/>
              </w:rPr>
              <w:t>产品方案：</w:t>
            </w:r>
            <w:r>
              <w:rPr>
                <w:rFonts w:hint="eastAsia"/>
                <w:sz w:val="24"/>
              </w:rPr>
              <w:t>年产180万把扳手</w:t>
            </w:r>
            <w:r>
              <w:rPr>
                <w:sz w:val="24"/>
              </w:rPr>
              <w:t>。</w:t>
            </w:r>
          </w:p>
          <w:p>
            <w:pPr>
              <w:spacing w:line="360" w:lineRule="auto"/>
              <w:ind w:firstLine="480" w:firstLineChars="200"/>
              <w:rPr>
                <w:sz w:val="24"/>
              </w:rPr>
            </w:pPr>
            <w:r>
              <w:rPr>
                <w:sz w:val="24"/>
              </w:rPr>
              <w:t>建设内容：本项目位于湖南省邵阳市</w:t>
            </w:r>
            <w:r>
              <w:rPr>
                <w:rFonts w:hint="eastAsia"/>
                <w:sz w:val="24"/>
                <w:lang w:eastAsia="zh-CN"/>
              </w:rPr>
              <w:t>邵东市仙槎桥镇平阳村</w:t>
            </w:r>
            <w:r>
              <w:rPr>
                <w:sz w:val="24"/>
              </w:rPr>
              <w:t>，扳手生产线</w:t>
            </w:r>
            <w:r>
              <w:rPr>
                <w:rFonts w:hint="eastAsia"/>
                <w:sz w:val="24"/>
                <w:lang w:eastAsia="zh-CN"/>
              </w:rPr>
              <w:t>包括</w:t>
            </w:r>
            <w:r>
              <w:rPr>
                <w:rFonts w:hint="eastAsia"/>
                <w:sz w:val="24"/>
              </w:rPr>
              <w:t>研磨区、锻压区、抛磨车间、原料区、包装区</w:t>
            </w:r>
            <w:r>
              <w:rPr>
                <w:rFonts w:hint="eastAsia"/>
                <w:sz w:val="24"/>
                <w:lang w:eastAsia="zh-CN"/>
              </w:rPr>
              <w:t>等</w:t>
            </w:r>
            <w:r>
              <w:rPr>
                <w:sz w:val="24"/>
              </w:rPr>
              <w:t>。</w:t>
            </w:r>
          </w:p>
          <w:p>
            <w:pPr>
              <w:spacing w:line="360" w:lineRule="auto"/>
              <w:ind w:firstLine="480" w:firstLineChars="200"/>
              <w:rPr>
                <w:sz w:val="24"/>
              </w:rPr>
            </w:pPr>
            <w:r>
              <w:rPr>
                <w:sz w:val="24"/>
              </w:rPr>
              <w:t>项目投资：</w:t>
            </w:r>
            <w:r>
              <w:rPr>
                <w:rFonts w:hint="eastAsia"/>
                <w:sz w:val="24"/>
                <w:lang w:eastAsia="zh-CN"/>
              </w:rPr>
              <w:t>180万</w:t>
            </w:r>
            <w:r>
              <w:rPr>
                <w:sz w:val="24"/>
              </w:rPr>
              <w:t>元，其中环保投资</w:t>
            </w:r>
            <w:r>
              <w:rPr>
                <w:rFonts w:hint="eastAsia"/>
                <w:sz w:val="24"/>
                <w:lang w:eastAsia="zh-CN"/>
              </w:rPr>
              <w:t>15万</w:t>
            </w:r>
            <w:r>
              <w:rPr>
                <w:sz w:val="24"/>
              </w:rPr>
              <w:t>元，占总投资</w:t>
            </w:r>
            <w:r>
              <w:rPr>
                <w:rFonts w:hint="eastAsia"/>
                <w:sz w:val="24"/>
                <w:lang w:val="en-US" w:eastAsia="zh-CN"/>
              </w:rPr>
              <w:t>8.3</w:t>
            </w:r>
            <w:r>
              <w:rPr>
                <w:rFonts w:hint="eastAsia"/>
                <w:sz w:val="24"/>
                <w:lang w:eastAsia="zh-CN"/>
              </w:rPr>
              <w:t>%</w:t>
            </w:r>
            <w:r>
              <w:rPr>
                <w:sz w:val="24"/>
              </w:rPr>
              <w:t>。</w:t>
            </w:r>
          </w:p>
          <w:p>
            <w:pPr>
              <w:spacing w:line="360" w:lineRule="auto"/>
              <w:ind w:firstLine="480" w:firstLineChars="200"/>
              <w:rPr>
                <w:sz w:val="24"/>
              </w:rPr>
            </w:pPr>
            <w:r>
              <w:rPr>
                <w:sz w:val="24"/>
              </w:rPr>
              <w:t>员工人数：</w:t>
            </w:r>
            <w:r>
              <w:rPr>
                <w:rFonts w:hint="eastAsia"/>
                <w:sz w:val="24"/>
                <w:lang w:val="en-US" w:eastAsia="zh-CN"/>
              </w:rPr>
              <w:t>3</w:t>
            </w:r>
            <w:r>
              <w:rPr>
                <w:sz w:val="24"/>
              </w:rPr>
              <w:t>0人</w:t>
            </w:r>
          </w:p>
          <w:p>
            <w:pPr>
              <w:spacing w:line="360" w:lineRule="auto"/>
              <w:ind w:firstLine="480" w:firstLineChars="200"/>
              <w:rPr>
                <w:sz w:val="24"/>
              </w:rPr>
            </w:pPr>
            <w:r>
              <w:rPr>
                <w:sz w:val="24"/>
              </w:rPr>
              <w:t>工作制度：</w:t>
            </w:r>
            <w:r>
              <w:rPr>
                <w:rFonts w:hint="eastAsia"/>
                <w:sz w:val="24"/>
                <w:lang w:eastAsia="zh-CN"/>
              </w:rPr>
              <w:t>一</w:t>
            </w:r>
            <w:r>
              <w:rPr>
                <w:sz w:val="24"/>
              </w:rPr>
              <w:t>班制运行，全年工作3</w:t>
            </w:r>
            <w:r>
              <w:rPr>
                <w:rFonts w:hint="eastAsia"/>
                <w:sz w:val="24"/>
                <w:lang w:val="en-US" w:eastAsia="zh-CN"/>
              </w:rPr>
              <w:t>0</w:t>
            </w:r>
            <w:r>
              <w:rPr>
                <w:sz w:val="24"/>
              </w:rPr>
              <w:t>0天</w:t>
            </w:r>
          </w:p>
          <w:p>
            <w:pPr>
              <w:spacing w:line="360" w:lineRule="auto"/>
              <w:ind w:firstLine="482" w:firstLineChars="200"/>
              <w:rPr>
                <w:b/>
                <w:sz w:val="24"/>
              </w:rPr>
            </w:pPr>
            <w:r>
              <w:rPr>
                <w:b/>
                <w:sz w:val="24"/>
              </w:rPr>
              <w:t>2、环境现状质量</w:t>
            </w:r>
          </w:p>
          <w:p>
            <w:pPr>
              <w:spacing w:line="360" w:lineRule="auto"/>
              <w:ind w:firstLine="480" w:firstLineChars="200"/>
              <w:rPr>
                <w:sz w:val="24"/>
              </w:rPr>
            </w:pPr>
            <w:r>
              <w:rPr>
                <w:sz w:val="24"/>
              </w:rPr>
              <w:t>（1）环境空气</w:t>
            </w:r>
          </w:p>
          <w:p>
            <w:pPr>
              <w:spacing w:line="360" w:lineRule="auto"/>
              <w:ind w:firstLine="480" w:firstLineChars="200"/>
              <w:rPr>
                <w:sz w:val="24"/>
              </w:rPr>
            </w:pPr>
            <w:r>
              <w:rPr>
                <w:sz w:val="24"/>
              </w:rPr>
              <w:t>环境空气质量现状：</w:t>
            </w:r>
            <w:r>
              <w:rPr>
                <w:bCs/>
                <w:sz w:val="24"/>
              </w:rPr>
              <w:t>NO</w:t>
            </w:r>
            <w:r>
              <w:rPr>
                <w:bCs/>
                <w:sz w:val="24"/>
                <w:vertAlign w:val="subscript"/>
              </w:rPr>
              <w:t>2</w:t>
            </w:r>
            <w:r>
              <w:rPr>
                <w:bCs/>
                <w:sz w:val="24"/>
              </w:rPr>
              <w:t>、SO</w:t>
            </w:r>
            <w:r>
              <w:rPr>
                <w:bCs/>
                <w:sz w:val="24"/>
                <w:vertAlign w:val="subscript"/>
              </w:rPr>
              <w:t>2</w:t>
            </w:r>
            <w:r>
              <w:rPr>
                <w:bCs/>
                <w:sz w:val="24"/>
              </w:rPr>
              <w:t>、PM</w:t>
            </w:r>
            <w:r>
              <w:rPr>
                <w:bCs/>
                <w:sz w:val="24"/>
                <w:vertAlign w:val="subscript"/>
              </w:rPr>
              <w:t>10、</w:t>
            </w:r>
            <w:r>
              <w:rPr>
                <w:bCs/>
                <w:sz w:val="24"/>
              </w:rPr>
              <w:t>PM</w:t>
            </w:r>
            <w:r>
              <w:rPr>
                <w:bCs/>
                <w:sz w:val="24"/>
                <w:vertAlign w:val="subscript"/>
              </w:rPr>
              <w:t>2.5</w:t>
            </w:r>
            <w:r>
              <w:rPr>
                <w:bCs/>
                <w:sz w:val="24"/>
              </w:rPr>
              <w:t>、CO、O</w:t>
            </w:r>
            <w:r>
              <w:rPr>
                <w:bCs/>
                <w:sz w:val="24"/>
                <w:vertAlign w:val="subscript"/>
              </w:rPr>
              <w:t>3</w:t>
            </w:r>
            <w:r>
              <w:rPr>
                <w:bCs/>
                <w:sz w:val="24"/>
              </w:rPr>
              <w:t>监测</w:t>
            </w:r>
            <w:r>
              <w:rPr>
                <w:sz w:val="24"/>
              </w:rPr>
              <w:t>指标均符合《环境空气质量标准》（GB3095-2012）中的二级标准要求。</w:t>
            </w:r>
          </w:p>
          <w:p>
            <w:pPr>
              <w:spacing w:line="360" w:lineRule="auto"/>
              <w:ind w:firstLine="480" w:firstLineChars="200"/>
              <w:rPr>
                <w:sz w:val="24"/>
              </w:rPr>
            </w:pPr>
            <w:r>
              <w:rPr>
                <w:sz w:val="24"/>
              </w:rPr>
              <w:t>（</w:t>
            </w:r>
            <w:r>
              <w:rPr>
                <w:rFonts w:hint="eastAsia"/>
                <w:sz w:val="24"/>
                <w:lang w:val="en-US" w:eastAsia="zh-CN"/>
              </w:rPr>
              <w:t>2</w:t>
            </w:r>
            <w:r>
              <w:rPr>
                <w:sz w:val="24"/>
              </w:rPr>
              <w:t>）声环境</w:t>
            </w:r>
          </w:p>
          <w:p>
            <w:pPr>
              <w:pStyle w:val="12"/>
              <w:spacing w:line="360" w:lineRule="auto"/>
              <w:ind w:firstLine="460" w:firstLineChars="200"/>
              <w:rPr>
                <w:spacing w:val="-5"/>
              </w:rPr>
            </w:pPr>
            <w:r>
              <w:rPr>
                <w:spacing w:val="-5"/>
              </w:rPr>
              <w:t>项目各监测点噪声均能满足《声环境质量标准》</w:t>
            </w:r>
            <w:r>
              <w:t>（GB3096-2008）</w:t>
            </w:r>
            <w:r>
              <w:rPr>
                <w:rFonts w:hint="eastAsia"/>
                <w:lang w:val="en-US" w:eastAsia="zh-CN"/>
              </w:rPr>
              <w:t>2</w:t>
            </w:r>
            <w:r>
              <w:t>类标准要求。</w:t>
            </w:r>
          </w:p>
          <w:p>
            <w:pPr>
              <w:spacing w:line="360" w:lineRule="auto"/>
              <w:ind w:firstLine="482" w:firstLineChars="200"/>
              <w:rPr>
                <w:b/>
                <w:sz w:val="24"/>
              </w:rPr>
            </w:pPr>
            <w:r>
              <w:rPr>
                <w:b/>
                <w:sz w:val="24"/>
              </w:rPr>
              <w:t>3、环境影响分析结论</w:t>
            </w:r>
          </w:p>
          <w:p>
            <w:pPr>
              <w:spacing w:line="360" w:lineRule="auto"/>
              <w:ind w:firstLine="480" w:firstLineChars="200"/>
              <w:rPr>
                <w:sz w:val="24"/>
              </w:rPr>
            </w:pPr>
            <w:r>
              <w:rPr>
                <w:sz w:val="24"/>
              </w:rPr>
              <w:t>（1）地表水环境影响分析结论</w:t>
            </w:r>
          </w:p>
          <w:p>
            <w:pPr>
              <w:adjustRightInd w:val="0"/>
              <w:snapToGrid w:val="0"/>
              <w:spacing w:line="360" w:lineRule="auto"/>
              <w:ind w:firstLine="480" w:firstLineChars="200"/>
              <w:rPr>
                <w:sz w:val="24"/>
              </w:rPr>
            </w:pPr>
            <w:r>
              <w:rPr>
                <w:sz w:val="24"/>
              </w:rPr>
              <w:t>本项目用水主要是生产废水和生活用水，生产废水循环使用不外排</w:t>
            </w:r>
            <w:r>
              <w:rPr>
                <w:rFonts w:hint="eastAsia"/>
                <w:sz w:val="24"/>
              </w:rPr>
              <w:t>。</w:t>
            </w:r>
            <w:r>
              <w:rPr>
                <w:rFonts w:hint="eastAsia"/>
                <w:sz w:val="24"/>
                <w:u w:val="none"/>
              </w:rPr>
              <w:t>项目生活污水经厂内自建粪池处理</w:t>
            </w:r>
            <w:r>
              <w:rPr>
                <w:rFonts w:hint="eastAsia"/>
                <w:sz w:val="24"/>
                <w:u w:val="none"/>
                <w:lang w:eastAsia="zh-CN"/>
              </w:rPr>
              <w:t>后用作农肥，综合利用</w:t>
            </w:r>
            <w:r>
              <w:rPr>
                <w:rFonts w:hint="eastAsia"/>
                <w:sz w:val="24"/>
                <w:u w:val="none"/>
              </w:rPr>
              <w:t>。故</w:t>
            </w:r>
            <w:r>
              <w:rPr>
                <w:sz w:val="24"/>
                <w:u w:val="none"/>
              </w:rPr>
              <w:t>本项目运营</w:t>
            </w:r>
            <w:r>
              <w:rPr>
                <w:rFonts w:hint="eastAsia"/>
                <w:sz w:val="24"/>
                <w:u w:val="none"/>
              </w:rPr>
              <w:t>时对</w:t>
            </w:r>
            <w:r>
              <w:rPr>
                <w:sz w:val="24"/>
                <w:u w:val="none"/>
              </w:rPr>
              <w:t>周围水</w:t>
            </w:r>
            <w:r>
              <w:rPr>
                <w:sz w:val="24"/>
              </w:rPr>
              <w:t>环境影响较小。</w:t>
            </w:r>
          </w:p>
          <w:p>
            <w:pPr>
              <w:spacing w:line="360" w:lineRule="auto"/>
              <w:ind w:firstLine="480" w:firstLineChars="200"/>
              <w:rPr>
                <w:sz w:val="24"/>
              </w:rPr>
            </w:pPr>
            <w:r>
              <w:rPr>
                <w:sz w:val="24"/>
              </w:rPr>
              <w:t>（2）大气影响分析结论</w:t>
            </w:r>
          </w:p>
          <w:p>
            <w:pPr>
              <w:spacing w:line="360" w:lineRule="auto"/>
              <w:ind w:firstLine="480" w:firstLineChars="200"/>
              <w:rPr>
                <w:kern w:val="0"/>
                <w:sz w:val="24"/>
              </w:rPr>
            </w:pPr>
            <w:r>
              <w:rPr>
                <w:rFonts w:hint="eastAsia"/>
                <w:kern w:val="0"/>
                <w:sz w:val="24"/>
              </w:rPr>
              <w:t>本项目</w:t>
            </w:r>
            <w:r>
              <w:rPr>
                <w:kern w:val="0"/>
                <w:sz w:val="24"/>
              </w:rPr>
              <w:t>打磨粉尘</w:t>
            </w:r>
            <w:r>
              <w:rPr>
                <w:rFonts w:hint="eastAsia"/>
                <w:kern w:val="0"/>
                <w:sz w:val="24"/>
              </w:rPr>
              <w:t>经</w:t>
            </w:r>
            <w:r>
              <w:rPr>
                <w:rFonts w:hint="eastAsia"/>
                <w:kern w:val="0"/>
                <w:sz w:val="24"/>
                <w:lang w:eastAsia="zh-CN"/>
              </w:rPr>
              <w:t>湿法除尘系统处理</w:t>
            </w:r>
            <w:r>
              <w:rPr>
                <w:kern w:val="0"/>
                <w:sz w:val="24"/>
              </w:rPr>
              <w:t>、</w:t>
            </w:r>
            <w:r>
              <w:rPr>
                <w:rFonts w:hint="eastAsia"/>
                <w:kern w:val="0"/>
                <w:sz w:val="24"/>
                <w:lang w:eastAsia="zh-CN"/>
              </w:rPr>
              <w:t>抛丸</w:t>
            </w:r>
            <w:r>
              <w:rPr>
                <w:rFonts w:hint="eastAsia"/>
                <w:kern w:val="0"/>
                <w:sz w:val="24"/>
              </w:rPr>
              <w:t>粉尘</w:t>
            </w:r>
            <w:r>
              <w:rPr>
                <w:kern w:val="0"/>
                <w:sz w:val="24"/>
              </w:rPr>
              <w:t>经自配</w:t>
            </w:r>
            <w:r>
              <w:rPr>
                <w:rFonts w:hint="eastAsia"/>
                <w:kern w:val="0"/>
                <w:sz w:val="24"/>
              </w:rPr>
              <w:t>除尘器</w:t>
            </w:r>
            <w:r>
              <w:rPr>
                <w:kern w:val="0"/>
                <w:sz w:val="24"/>
              </w:rPr>
              <w:t>处理、抛光</w:t>
            </w:r>
            <w:r>
              <w:rPr>
                <w:rFonts w:hint="eastAsia"/>
                <w:kern w:val="0"/>
                <w:sz w:val="24"/>
              </w:rPr>
              <w:t>粉尘经</w:t>
            </w:r>
            <w:r>
              <w:rPr>
                <w:rFonts w:hint="eastAsia"/>
                <w:kern w:val="0"/>
                <w:sz w:val="24"/>
                <w:lang w:eastAsia="zh-CN"/>
              </w:rPr>
              <w:t>湿法除尘系统处理，</w:t>
            </w:r>
            <w:r>
              <w:rPr>
                <w:kern w:val="0"/>
                <w:sz w:val="24"/>
              </w:rPr>
              <w:t>在厂区内无组织排放</w:t>
            </w:r>
            <w:r>
              <w:rPr>
                <w:rFonts w:hint="eastAsia"/>
                <w:kern w:val="0"/>
                <w:sz w:val="24"/>
              </w:rPr>
              <w:t>。</w:t>
            </w:r>
            <w:r>
              <w:rPr>
                <w:sz w:val="24"/>
              </w:rPr>
              <w:t>通过</w:t>
            </w:r>
            <w:r>
              <w:rPr>
                <w:rFonts w:hint="eastAsia"/>
                <w:sz w:val="24"/>
              </w:rPr>
              <w:t>上述</w:t>
            </w:r>
            <w:r>
              <w:rPr>
                <w:sz w:val="24"/>
              </w:rPr>
              <w:t>措施及加强车间的通风换气，厂界浓度可达到</w:t>
            </w:r>
            <w:r>
              <w:rPr>
                <w:sz w:val="24"/>
                <w:lang w:val="zh-CN"/>
              </w:rPr>
              <w:t>《大气污染物综合排放标准》（GB16297-1996）表2中周界外浓度最高点的要求（</w:t>
            </w:r>
            <w:r>
              <w:rPr>
                <w:rFonts w:hint="eastAsia"/>
                <w:sz w:val="24"/>
                <w:lang w:val="zh-CN"/>
              </w:rPr>
              <w:t>颗粒物</w:t>
            </w:r>
            <w:r>
              <w:rPr>
                <w:sz w:val="24"/>
                <w:lang w:val="zh-CN"/>
              </w:rPr>
              <w:t>周界外浓度最高点≤</w:t>
            </w:r>
            <w:r>
              <w:rPr>
                <w:sz w:val="24"/>
              </w:rPr>
              <w:t>1.0</w:t>
            </w:r>
            <w:r>
              <w:rPr>
                <w:sz w:val="24"/>
                <w:lang w:val="zh-CN"/>
              </w:rPr>
              <w:t>mg/m</w:t>
            </w:r>
            <w:r>
              <w:rPr>
                <w:sz w:val="24"/>
                <w:vertAlign w:val="superscript"/>
                <w:lang w:val="zh-CN"/>
              </w:rPr>
              <w:t>3</w:t>
            </w:r>
            <w:r>
              <w:rPr>
                <w:sz w:val="24"/>
                <w:lang w:val="zh-CN"/>
              </w:rPr>
              <w:t>），对</w:t>
            </w:r>
            <w:r>
              <w:rPr>
                <w:sz w:val="24"/>
              </w:rPr>
              <w:t>大气环境影响较</w:t>
            </w:r>
            <w:r>
              <w:rPr>
                <w:rFonts w:hint="eastAsia"/>
                <w:sz w:val="24"/>
                <w:lang w:eastAsia="zh-CN"/>
              </w:rPr>
              <w:t>小</w:t>
            </w:r>
            <w:r>
              <w:rPr>
                <w:sz w:val="24"/>
              </w:rPr>
              <w:t>。</w:t>
            </w:r>
          </w:p>
          <w:p>
            <w:pPr>
              <w:spacing w:line="360" w:lineRule="auto"/>
              <w:ind w:firstLine="480" w:firstLineChars="200"/>
              <w:rPr>
                <w:sz w:val="24"/>
              </w:rPr>
            </w:pPr>
            <w:r>
              <w:rPr>
                <w:sz w:val="24"/>
              </w:rPr>
              <w:t>（3）声环境影响分析结论</w:t>
            </w:r>
          </w:p>
          <w:p>
            <w:pPr>
              <w:spacing w:line="360" w:lineRule="auto"/>
              <w:ind w:firstLine="480" w:firstLineChars="200"/>
              <w:rPr>
                <w:sz w:val="24"/>
              </w:rPr>
            </w:pPr>
            <w:r>
              <w:rPr>
                <w:sz w:val="24"/>
              </w:rPr>
              <w:t>营运期噪声污染源主要</w:t>
            </w:r>
            <w:r>
              <w:rPr>
                <w:rFonts w:hint="eastAsia"/>
                <w:sz w:val="24"/>
              </w:rPr>
              <w:t>为断料机、压力机、轧机、冲床、车床、磨床、铣床、</w:t>
            </w:r>
            <w:r>
              <w:rPr>
                <w:rFonts w:hint="eastAsia"/>
                <w:sz w:val="24"/>
                <w:lang w:eastAsia="zh-CN"/>
              </w:rPr>
              <w:t>研磨机</w:t>
            </w:r>
            <w:r>
              <w:rPr>
                <w:rFonts w:hint="eastAsia"/>
                <w:sz w:val="24"/>
              </w:rPr>
              <w:t>、</w:t>
            </w:r>
            <w:r>
              <w:rPr>
                <w:rFonts w:hint="eastAsia"/>
                <w:sz w:val="24"/>
                <w:lang w:eastAsia="zh-CN"/>
              </w:rPr>
              <w:t>抛丸</w:t>
            </w:r>
            <w:r>
              <w:rPr>
                <w:rFonts w:hint="eastAsia"/>
                <w:sz w:val="24"/>
              </w:rPr>
              <w:t>机、数控抛光机、中频炉等</w:t>
            </w:r>
            <w:r>
              <w:rPr>
                <w:sz w:val="24"/>
              </w:rPr>
              <w:t xml:space="preserve">设备在运行时产生的噪声，噪声源强 </w:t>
            </w:r>
            <w:r>
              <w:rPr>
                <w:rFonts w:hint="eastAsia"/>
                <w:sz w:val="24"/>
                <w:lang w:val="en-US" w:eastAsia="zh-CN"/>
              </w:rPr>
              <w:t>60</w:t>
            </w:r>
            <w:r>
              <w:rPr>
                <w:sz w:val="24"/>
              </w:rPr>
              <w:t>-90dB。通过采取厂房合理布局并设置减振基础，橡胶垫等防噪设施，可有效控制噪声影响，厂界噪声能</w:t>
            </w:r>
            <w:r>
              <w:rPr>
                <w:kern w:val="0"/>
                <w:sz w:val="24"/>
              </w:rPr>
              <w:t>《工业企业厂界环境噪声排放标准》（GB12348-2008）中</w:t>
            </w:r>
            <w:r>
              <w:rPr>
                <w:rFonts w:hint="eastAsia"/>
                <w:kern w:val="0"/>
                <w:sz w:val="24"/>
                <w:lang w:val="en-US" w:eastAsia="zh-CN"/>
              </w:rPr>
              <w:t>2</w:t>
            </w:r>
            <w:r>
              <w:rPr>
                <w:rFonts w:hint="eastAsia"/>
                <w:kern w:val="0"/>
                <w:sz w:val="24"/>
              </w:rPr>
              <w:t>类</w:t>
            </w:r>
            <w:r>
              <w:rPr>
                <w:kern w:val="0"/>
                <w:sz w:val="24"/>
              </w:rPr>
              <w:t>标准</w:t>
            </w:r>
            <w:r>
              <w:rPr>
                <w:sz w:val="24"/>
              </w:rPr>
              <w:t>，噪声对周边环境保护目标的影响较小。</w:t>
            </w:r>
          </w:p>
          <w:p>
            <w:pPr>
              <w:spacing w:line="360" w:lineRule="auto"/>
              <w:ind w:firstLine="480" w:firstLineChars="200"/>
              <w:rPr>
                <w:sz w:val="24"/>
              </w:rPr>
            </w:pPr>
            <w:r>
              <w:rPr>
                <w:sz w:val="24"/>
              </w:rPr>
              <w:t>（4）固废环境影响分析结论</w:t>
            </w:r>
          </w:p>
          <w:p>
            <w:pPr>
              <w:spacing w:line="360" w:lineRule="auto"/>
              <w:ind w:firstLine="480" w:firstLineChars="200"/>
              <w:rPr>
                <w:sz w:val="24"/>
              </w:rPr>
            </w:pPr>
            <w:r>
              <w:rPr>
                <w:sz w:val="24"/>
              </w:rPr>
              <w:t>本项目产生的各固体废物均有相应的处置方式，不直接排放至外界环境。项目认真落实各固废的处置，项目营运期产生的固体废物对环境造成的影响降至可以接受的程度，对外界环境影响不明显。</w:t>
            </w:r>
          </w:p>
          <w:p>
            <w:pPr>
              <w:spacing w:line="360" w:lineRule="auto"/>
              <w:ind w:firstLine="482" w:firstLineChars="200"/>
              <w:rPr>
                <w:b/>
                <w:sz w:val="24"/>
              </w:rPr>
            </w:pPr>
            <w:r>
              <w:rPr>
                <w:b/>
                <w:sz w:val="24"/>
              </w:rPr>
              <w:t>4、产业政策符合性</w:t>
            </w:r>
          </w:p>
          <w:p>
            <w:pPr>
              <w:spacing w:line="360" w:lineRule="auto"/>
              <w:ind w:firstLine="480" w:firstLineChars="200"/>
              <w:rPr>
                <w:sz w:val="24"/>
              </w:rPr>
            </w:pPr>
            <w:r>
              <w:rPr>
                <w:sz w:val="24"/>
              </w:rPr>
              <w:t>本项目为年</w:t>
            </w:r>
            <w:r>
              <w:rPr>
                <w:rFonts w:hint="eastAsia"/>
                <w:sz w:val="24"/>
              </w:rPr>
              <w:t>产</w:t>
            </w:r>
            <w:r>
              <w:rPr>
                <w:rFonts w:hint="eastAsia"/>
                <w:sz w:val="24"/>
                <w:lang w:eastAsia="zh-CN"/>
              </w:rPr>
              <w:t>180万</w:t>
            </w:r>
            <w:r>
              <w:rPr>
                <w:rFonts w:hint="eastAsia"/>
                <w:sz w:val="24"/>
              </w:rPr>
              <w:t>把</w:t>
            </w:r>
            <w:r>
              <w:rPr>
                <w:sz w:val="24"/>
              </w:rPr>
              <w:t>扳手生产线建设项目。根据</w:t>
            </w:r>
            <w:r>
              <w:rPr>
                <w:rFonts w:hint="eastAsia"/>
                <w:sz w:val="24"/>
                <w:lang w:eastAsia="zh-CN"/>
              </w:rPr>
              <w:t>《产业结构调整指导目录（2019年本）》</w:t>
            </w:r>
            <w:r>
              <w:rPr>
                <w:sz w:val="24"/>
              </w:rPr>
              <w:t>，本项目不属于该目录中鼓励类、限制类和淘汰类的项目，本项目不属国家、禁止或限制发展的产品，所用生产设备及生产能力均不属国家禁止或强制淘汰的生产设备或生产能力。本项目建设符合国家及地方的产业政策。</w:t>
            </w:r>
          </w:p>
          <w:p>
            <w:pPr>
              <w:spacing w:line="360" w:lineRule="auto"/>
              <w:ind w:firstLine="482" w:firstLineChars="200"/>
              <w:rPr>
                <w:b/>
                <w:sz w:val="24"/>
              </w:rPr>
            </w:pPr>
            <w:r>
              <w:rPr>
                <w:b/>
                <w:sz w:val="24"/>
              </w:rPr>
              <w:t>5、项目选址可行性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本项目位于</w:t>
            </w:r>
            <w:r>
              <w:rPr>
                <w:rFonts w:hint="default" w:ascii="Times New Roman" w:hAnsi="Times New Roman" w:cs="Times New Roman"/>
                <w:sz w:val="24"/>
                <w:lang w:eastAsia="zh-CN"/>
              </w:rPr>
              <w:t>邵东市仙槎桥镇平阳村</w:t>
            </w:r>
            <w:r>
              <w:rPr>
                <w:rFonts w:hint="default" w:ascii="Times New Roman" w:hAnsi="Times New Roman" w:cs="Times New Roman"/>
                <w:sz w:val="24"/>
              </w:rPr>
              <w:t>内。项目区内供水、供电、通讯等设施可在</w:t>
            </w:r>
            <w:r>
              <w:rPr>
                <w:rFonts w:hint="eastAsia" w:ascii="Times New Roman" w:hAnsi="Times New Roman" w:cs="Times New Roman"/>
                <w:sz w:val="24"/>
                <w:lang w:eastAsia="zh-CN"/>
              </w:rPr>
              <w:t>附近</w:t>
            </w:r>
            <w:r>
              <w:rPr>
                <w:rFonts w:hint="default" w:ascii="Times New Roman" w:hAnsi="Times New Roman" w:cs="Times New Roman"/>
                <w:sz w:val="24"/>
              </w:rPr>
              <w:t>接入，较为方便。项目邻近X019县道，交通便利。生产区与周边无居民点，项目用地性质为工业用地，符合相关土地利用规划。</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项目在采取有效的污染防治措施的前提下，项目产生的废气、废水、固废和噪声均能达标排放或得到妥善处置，对周围环境和周边居民影响较小，项目选址合理。</w:t>
            </w:r>
          </w:p>
          <w:p>
            <w:pPr>
              <w:adjustRightInd w:val="0"/>
              <w:snapToGrid w:val="0"/>
              <w:spacing w:line="360" w:lineRule="auto"/>
              <w:ind w:firstLine="482" w:firstLineChars="200"/>
              <w:rPr>
                <w:rFonts w:hint="default" w:ascii="Times New Roman" w:hAnsi="Times New Roman" w:cs="Times New Roman"/>
                <w:b/>
                <w:sz w:val="24"/>
              </w:rPr>
            </w:pPr>
            <w:r>
              <w:rPr>
                <w:rFonts w:hint="eastAsia" w:cs="Times New Roman"/>
                <w:b/>
                <w:sz w:val="24"/>
                <w:lang w:val="en-US" w:eastAsia="zh-CN"/>
              </w:rPr>
              <w:t>6</w:t>
            </w:r>
            <w:r>
              <w:rPr>
                <w:rFonts w:hint="default" w:ascii="Times New Roman" w:hAnsi="Times New Roman" w:cs="Times New Roman"/>
                <w:b/>
                <w:sz w:val="24"/>
              </w:rPr>
              <w:t>、平面布置合理性</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sz w:val="24"/>
              </w:rPr>
              <w:t>本项目选址位于湖南省邵阳市邵东市仙槎桥镇平阳村。场地呈矩形，厂内出入口位于西侧，正对乡村道路；西面为综合楼，东面为2栋生产厂房，厂房包括研磨区、锻压区、抛磨车间、原料区、包装区等</w:t>
            </w:r>
            <w:r>
              <w:rPr>
                <w:rFonts w:hint="default" w:ascii="Times New Roman" w:hAnsi="Times New Roman" w:cs="Times New Roman"/>
                <w:sz w:val="24"/>
                <w:lang w:val="zh-CN"/>
              </w:rPr>
              <w:t>。</w:t>
            </w:r>
            <w:r>
              <w:rPr>
                <w:rFonts w:hint="default" w:ascii="Times New Roman" w:hAnsi="Times New Roman" w:cs="Times New Roman"/>
                <w:bCs/>
                <w:sz w:val="24"/>
              </w:rPr>
              <w:t>整个厂区功能分区明确，布置合理，物流线路段。厂区出入口经厂区道路可以直接到达生产厂房，方便物流及产品运输，厂房内部按照流程合理布局，在方便生产的前提下尽量将噪声设备布置在厂房中间位置，以确保</w:t>
            </w:r>
            <w:r>
              <w:rPr>
                <w:rFonts w:hint="eastAsia" w:ascii="Times New Roman" w:hAnsi="Times New Roman" w:cs="Times New Roman"/>
                <w:bCs/>
                <w:sz w:val="24"/>
                <w:lang w:eastAsia="zh-CN"/>
              </w:rPr>
              <w:t>厂界</w:t>
            </w:r>
            <w:r>
              <w:rPr>
                <w:rFonts w:hint="default" w:ascii="Times New Roman" w:hAnsi="Times New Roman" w:cs="Times New Roman"/>
                <w:bCs/>
                <w:sz w:val="24"/>
              </w:rPr>
              <w:t>噪声达标排放。</w:t>
            </w:r>
          </w:p>
          <w:p>
            <w:pPr>
              <w:spacing w:line="360" w:lineRule="auto"/>
              <w:ind w:firstLine="480" w:firstLineChars="200"/>
              <w:rPr>
                <w:bCs/>
                <w:sz w:val="24"/>
              </w:rPr>
            </w:pPr>
            <w:r>
              <w:rPr>
                <w:bCs/>
                <w:sz w:val="24"/>
              </w:rPr>
              <w:t>从环境保护角度分析，本项目平面布局合理。</w:t>
            </w:r>
          </w:p>
          <w:p>
            <w:pPr>
              <w:spacing w:line="360" w:lineRule="auto"/>
              <w:ind w:firstLine="482" w:firstLineChars="200"/>
              <w:rPr>
                <w:b/>
                <w:sz w:val="24"/>
              </w:rPr>
            </w:pPr>
            <w:r>
              <w:rPr>
                <w:b/>
                <w:sz w:val="24"/>
              </w:rPr>
              <w:t>总结论：</w:t>
            </w:r>
          </w:p>
          <w:p>
            <w:pPr>
              <w:adjustRightInd w:val="0"/>
              <w:snapToGrid w:val="0"/>
              <w:spacing w:line="360" w:lineRule="auto"/>
              <w:ind w:firstLine="480" w:firstLineChars="200"/>
              <w:rPr>
                <w:sz w:val="24"/>
              </w:rPr>
            </w:pPr>
            <w:r>
              <w:rPr>
                <w:sz w:val="24"/>
              </w:rPr>
              <w:t>项目在营运期将不可避免地会对环境造成一定的负面影响，建设单位在实施过程中，要严格认真按照“三同时”、清洁生产和达标排放的原则营运，落实报告表中各项污染防治措施，确保工程建成投产后达到本报告表的排污水平。</w:t>
            </w:r>
          </w:p>
          <w:p>
            <w:pPr>
              <w:adjustRightInd w:val="0"/>
              <w:snapToGrid w:val="0"/>
              <w:spacing w:line="360" w:lineRule="auto"/>
              <w:ind w:firstLine="480" w:firstLineChars="200"/>
              <w:rPr>
                <w:sz w:val="24"/>
              </w:rPr>
            </w:pPr>
            <w:r>
              <w:rPr>
                <w:sz w:val="24"/>
              </w:rPr>
              <w:t>项目环保措施可行，废气、废水、噪声能达标排放，固体废物得到合理处置。因此，从环境保护角度看，该项目建设是可行的。</w:t>
            </w:r>
          </w:p>
          <w:p>
            <w:pPr>
              <w:spacing w:line="360" w:lineRule="auto"/>
              <w:outlineLvl w:val="1"/>
              <w:rPr>
                <w:b/>
                <w:sz w:val="30"/>
                <w:szCs w:val="30"/>
              </w:rPr>
            </w:pPr>
            <w:bookmarkStart w:id="82" w:name="_Toc514143754"/>
            <w:r>
              <w:rPr>
                <w:b/>
                <w:sz w:val="30"/>
                <w:szCs w:val="30"/>
              </w:rPr>
              <w:t>（二）建议</w:t>
            </w:r>
            <w:bookmarkEnd w:id="82"/>
          </w:p>
          <w:p>
            <w:pPr>
              <w:adjustRightInd w:val="0"/>
              <w:snapToGrid w:val="0"/>
              <w:spacing w:beforeLines="50" w:line="360" w:lineRule="auto"/>
              <w:ind w:firstLine="480" w:firstLineChars="200"/>
              <w:rPr>
                <w:sz w:val="24"/>
              </w:rPr>
            </w:pPr>
            <w:r>
              <w:rPr>
                <w:sz w:val="24"/>
              </w:rPr>
              <w:t>（1）根据环评要求，由厂内技术管理人员兼职环保工作，具体负责环保设施的运行、检查、维护等工作</w:t>
            </w:r>
            <w:r>
              <w:rPr>
                <w:rFonts w:hint="eastAsia"/>
                <w:sz w:val="24"/>
                <w:lang w:eastAsia="zh-CN"/>
              </w:rPr>
              <w:t>，</w:t>
            </w:r>
            <w:r>
              <w:rPr>
                <w:sz w:val="24"/>
              </w:rPr>
              <w:t>确保污染防治措施有效地运行，保证污染物达标排放；</w:t>
            </w:r>
          </w:p>
          <w:p>
            <w:pPr>
              <w:adjustRightInd w:val="0"/>
              <w:snapToGrid w:val="0"/>
              <w:spacing w:line="360" w:lineRule="auto"/>
              <w:ind w:firstLine="480" w:firstLineChars="200"/>
              <w:rPr>
                <w:sz w:val="24"/>
              </w:rPr>
            </w:pPr>
            <w:r>
              <w:rPr>
                <w:sz w:val="24"/>
              </w:rPr>
              <w:t>（2）生活垃圾及时清运，不得自行焚烧或填埋，并在厂区内设置垃圾桶分类回收。</w:t>
            </w:r>
          </w:p>
          <w:p>
            <w:pPr>
              <w:adjustRightInd w:val="0"/>
              <w:snapToGrid w:val="0"/>
              <w:spacing w:line="360" w:lineRule="auto"/>
              <w:ind w:firstLine="480" w:firstLineChars="200"/>
              <w:rPr>
                <w:sz w:val="24"/>
              </w:rPr>
            </w:pPr>
            <w:r>
              <w:rPr>
                <w:sz w:val="24"/>
              </w:rPr>
              <w:t>（3）搞好绿化，实施清洁生产，使之美化和净化工作环境。</w:t>
            </w:r>
          </w:p>
          <w:p>
            <w:pPr>
              <w:adjustRightInd w:val="0"/>
              <w:snapToGrid w:val="0"/>
              <w:spacing w:line="360" w:lineRule="auto"/>
              <w:ind w:firstLine="480" w:firstLineChars="200"/>
              <w:rPr>
                <w:sz w:val="24"/>
              </w:rPr>
            </w:pPr>
            <w:r>
              <w:rPr>
                <w:sz w:val="24"/>
              </w:rPr>
              <w:t>（4）加强管理，定期组织全体员工学习生产技能和环保知识，进一步完善清洁生产机制，提高全体员工的环境保护意识，重视环境保护工作。</w:t>
            </w:r>
          </w:p>
          <w:p>
            <w:pPr>
              <w:adjustRightInd w:val="0"/>
              <w:snapToGrid w:val="0"/>
              <w:spacing w:line="360" w:lineRule="auto"/>
              <w:ind w:firstLine="480" w:firstLineChars="200"/>
              <w:rPr>
                <w:sz w:val="24"/>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tc>
      </w:tr>
      <w:bookmarkEnd w:id="78"/>
      <w:bookmarkEnd w:id="79"/>
      <w:bookmarkEnd w:id="80"/>
      <w:bookmarkEnd w:id="8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68" w:hRule="atLeast"/>
        </w:trPr>
        <w:tc>
          <w:tcPr>
            <w:tcW w:w="9310" w:type="dxa"/>
            <w:vAlign w:val="top"/>
          </w:tcPr>
          <w:p>
            <w:pPr>
              <w:ind w:firstLine="213"/>
              <w:contextualSpacing/>
              <w:rPr>
                <w:sz w:val="28"/>
              </w:rPr>
            </w:pPr>
            <w:r>
              <w:rPr>
                <w:sz w:val="28"/>
              </w:rPr>
              <w:t>预审意见：</w:t>
            </w: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right="560" w:firstLine="6300" w:firstLineChars="2250"/>
              <w:contextualSpacing/>
              <w:rPr>
                <w:sz w:val="28"/>
              </w:rPr>
            </w:pPr>
            <w:r>
              <w:rPr>
                <w:sz w:val="28"/>
              </w:rPr>
              <w:t>公  章</w:t>
            </w:r>
          </w:p>
          <w:p>
            <w:pPr>
              <w:ind w:firstLine="213"/>
              <w:contextualSpacing/>
              <w:rPr>
                <w:sz w:val="28"/>
              </w:rPr>
            </w:pPr>
            <w:r>
              <w:rPr>
                <w:sz w:val="28"/>
              </w:rPr>
              <w:t>经办人：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310" w:type="dxa"/>
            <w:vAlign w:val="top"/>
          </w:tcPr>
          <w:p>
            <w:pPr>
              <w:ind w:firstLine="213"/>
              <w:contextualSpacing/>
              <w:jc w:val="left"/>
              <w:rPr>
                <w:sz w:val="28"/>
              </w:rPr>
            </w:pPr>
            <w:r>
              <w:rPr>
                <w:sz w:val="28"/>
              </w:rPr>
              <w:t>下一级环境保护行政主管部门审查意见：</w:t>
            </w:r>
          </w:p>
          <w:p>
            <w:pPr>
              <w:ind w:firstLine="213"/>
              <w:contextualSpacing/>
              <w:jc w:val="left"/>
              <w:rPr>
                <w:sz w:val="28"/>
              </w:rPr>
            </w:pPr>
          </w:p>
          <w:p>
            <w:pPr>
              <w:ind w:firstLine="213"/>
              <w:contextualSpacing/>
              <w:jc w:val="left"/>
              <w:rPr>
                <w:sz w:val="28"/>
              </w:rPr>
            </w:pPr>
          </w:p>
          <w:p>
            <w:pPr>
              <w:ind w:firstLine="213"/>
              <w:contextualSpacing/>
              <w:jc w:val="left"/>
              <w:rPr>
                <w:sz w:val="28"/>
              </w:rPr>
            </w:pPr>
          </w:p>
          <w:p>
            <w:pPr>
              <w:ind w:firstLine="213"/>
              <w:contextualSpacing/>
              <w:jc w:val="left"/>
              <w:rPr>
                <w:sz w:val="28"/>
              </w:rPr>
            </w:pPr>
          </w:p>
          <w:p>
            <w:pPr>
              <w:ind w:firstLine="213"/>
              <w:contextualSpacing/>
              <w:jc w:val="left"/>
              <w:rPr>
                <w:sz w:val="28"/>
              </w:rPr>
            </w:pPr>
          </w:p>
          <w:p>
            <w:pPr>
              <w:ind w:firstLine="213"/>
              <w:contextualSpacing/>
              <w:jc w:val="left"/>
              <w:rPr>
                <w:sz w:val="28"/>
              </w:rPr>
            </w:pPr>
          </w:p>
          <w:p>
            <w:pPr>
              <w:ind w:firstLine="213"/>
              <w:contextualSpacing/>
              <w:jc w:val="left"/>
              <w:rPr>
                <w:sz w:val="28"/>
              </w:rPr>
            </w:pPr>
          </w:p>
          <w:p>
            <w:pPr>
              <w:contextualSpacing/>
              <w:jc w:val="left"/>
              <w:rPr>
                <w:sz w:val="28"/>
              </w:rPr>
            </w:pPr>
          </w:p>
          <w:p>
            <w:pPr>
              <w:ind w:right="560" w:firstLine="6300" w:firstLineChars="2250"/>
              <w:contextualSpacing/>
              <w:rPr>
                <w:sz w:val="28"/>
              </w:rPr>
            </w:pPr>
            <w:r>
              <w:rPr>
                <w:sz w:val="28"/>
              </w:rPr>
              <w:t>公  章</w:t>
            </w:r>
          </w:p>
          <w:p>
            <w:pPr>
              <w:ind w:right="560" w:firstLine="420" w:firstLineChars="150"/>
              <w:contextualSpacing/>
              <w:rPr>
                <w:sz w:val="28"/>
              </w:rPr>
            </w:pPr>
            <w:r>
              <w:rPr>
                <w:sz w:val="28"/>
              </w:rPr>
              <w:t>经办人：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310" w:type="dxa"/>
            <w:vAlign w:val="top"/>
          </w:tcPr>
          <w:p>
            <w:pPr>
              <w:ind w:firstLine="213"/>
              <w:contextualSpacing/>
              <w:rPr>
                <w:sz w:val="28"/>
              </w:rPr>
            </w:pPr>
            <w:r>
              <w:rPr>
                <w:sz w:val="28"/>
              </w:rPr>
              <w:t>审批意见：</w:t>
            </w: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rPr>
                <w:sz w:val="28"/>
              </w:rPr>
            </w:pPr>
          </w:p>
          <w:p>
            <w:pPr>
              <w:ind w:right="560" w:firstLine="6440" w:firstLineChars="2300"/>
              <w:contextualSpacing/>
              <w:rPr>
                <w:sz w:val="28"/>
              </w:rPr>
            </w:pPr>
            <w:r>
              <w:rPr>
                <w:sz w:val="28"/>
              </w:rPr>
              <w:t>公  章</w:t>
            </w:r>
          </w:p>
          <w:p>
            <w:pPr>
              <w:ind w:right="560" w:firstLine="280" w:firstLineChars="100"/>
              <w:contextualSpacing/>
              <w:rPr>
                <w:sz w:val="28"/>
              </w:rPr>
            </w:pPr>
            <w:r>
              <w:rPr>
                <w:sz w:val="28"/>
              </w:rPr>
              <w:t>经办人：                                 年     月    日</w:t>
            </w:r>
          </w:p>
        </w:tc>
      </w:tr>
    </w:tbl>
    <w:p>
      <w:pPr>
        <w:rPr>
          <w:sz w:val="24"/>
        </w:rPr>
      </w:pPr>
    </w:p>
    <w:sectPr>
      <w:headerReference r:id="rId3" w:type="default"/>
      <w:footerReference r:id="rId4" w:type="default"/>
      <w:pgSz w:w="11906" w:h="16838"/>
      <w:pgMar w:top="1361" w:right="1361" w:bottom="1361" w:left="145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 w:name="Calibri">
    <w:panose1 w:val="020F0502020204030204"/>
    <w:charset w:val="86"/>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53</w:t>
    </w:r>
    <w:r>
      <w:fldChar w:fldCharType="end"/>
    </w:r>
  </w:p>
  <w:p>
    <w:pPr>
      <w:pStyle w:val="23"/>
      <w:wordWrap w:val="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F0C07"/>
    <w:multiLevelType w:val="multilevel"/>
    <w:tmpl w:val="505F0C07"/>
    <w:lvl w:ilvl="0" w:tentative="0">
      <w:start w:val="4"/>
      <w:numFmt w:val="decimal"/>
      <w:lvlText w:val="%1、"/>
      <w:lvlJc w:val="left"/>
      <w:pPr>
        <w:ind w:left="857" w:hanging="3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270994F"/>
    <w:multiLevelType w:val="singleLevel"/>
    <w:tmpl w:val="5270994F"/>
    <w:lvl w:ilvl="0" w:tentative="0">
      <w:start w:val="5"/>
      <w:numFmt w:val="chineseCounting"/>
      <w:suff w:val="nothing"/>
      <w:lvlText w:val="%1、"/>
      <w:lvlJc w:val="left"/>
      <w:pPr>
        <w:ind w:left="0" w:firstLine="0"/>
      </w:pPr>
    </w:lvl>
  </w:abstractNum>
  <w:abstractNum w:abstractNumId="2">
    <w:nsid w:val="5A421C6E"/>
    <w:multiLevelType w:val="singleLevel"/>
    <w:tmpl w:val="5A421C6E"/>
    <w:lvl w:ilvl="0" w:tentative="0">
      <w:start w:val="1"/>
      <w:numFmt w:val="decimal"/>
      <w:suff w:val="nothing"/>
      <w:lvlText w:val="（%1）"/>
      <w:lvlJc w:val="left"/>
    </w:lvl>
  </w:abstractNum>
  <w:num w:numId="1">
    <w:abstractNumId w:val="1"/>
    <w:lvlOverride w:ilvl="0">
      <w:startOverride w:val="5"/>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6F1FE1"/>
    <w:rsid w:val="000001E7"/>
    <w:rsid w:val="00000EED"/>
    <w:rsid w:val="00001272"/>
    <w:rsid w:val="000027A9"/>
    <w:rsid w:val="00002EB8"/>
    <w:rsid w:val="00002FA9"/>
    <w:rsid w:val="000030D5"/>
    <w:rsid w:val="0000426D"/>
    <w:rsid w:val="00004B89"/>
    <w:rsid w:val="00004CFE"/>
    <w:rsid w:val="00004F7D"/>
    <w:rsid w:val="000055B0"/>
    <w:rsid w:val="0000590D"/>
    <w:rsid w:val="00006922"/>
    <w:rsid w:val="00006DD9"/>
    <w:rsid w:val="0000716B"/>
    <w:rsid w:val="000074C2"/>
    <w:rsid w:val="00007DA6"/>
    <w:rsid w:val="00007F60"/>
    <w:rsid w:val="0001011C"/>
    <w:rsid w:val="0001068F"/>
    <w:rsid w:val="00011810"/>
    <w:rsid w:val="00012AA0"/>
    <w:rsid w:val="00012E25"/>
    <w:rsid w:val="00013531"/>
    <w:rsid w:val="00013E39"/>
    <w:rsid w:val="00014C7D"/>
    <w:rsid w:val="00020C4E"/>
    <w:rsid w:val="000212DF"/>
    <w:rsid w:val="000218B8"/>
    <w:rsid w:val="00022151"/>
    <w:rsid w:val="0002255F"/>
    <w:rsid w:val="000235C5"/>
    <w:rsid w:val="00023A1F"/>
    <w:rsid w:val="00023C97"/>
    <w:rsid w:val="00023F35"/>
    <w:rsid w:val="00024A7E"/>
    <w:rsid w:val="00025117"/>
    <w:rsid w:val="00025697"/>
    <w:rsid w:val="00026A32"/>
    <w:rsid w:val="0002735B"/>
    <w:rsid w:val="00027B63"/>
    <w:rsid w:val="00027D1F"/>
    <w:rsid w:val="00030067"/>
    <w:rsid w:val="00030A8D"/>
    <w:rsid w:val="00030D4B"/>
    <w:rsid w:val="00031447"/>
    <w:rsid w:val="00031653"/>
    <w:rsid w:val="0003184D"/>
    <w:rsid w:val="00032230"/>
    <w:rsid w:val="000326A8"/>
    <w:rsid w:val="00033B1A"/>
    <w:rsid w:val="00033C69"/>
    <w:rsid w:val="00034200"/>
    <w:rsid w:val="00034795"/>
    <w:rsid w:val="00034F55"/>
    <w:rsid w:val="000358A2"/>
    <w:rsid w:val="0003597F"/>
    <w:rsid w:val="0003687D"/>
    <w:rsid w:val="00037081"/>
    <w:rsid w:val="000376BA"/>
    <w:rsid w:val="00037FE6"/>
    <w:rsid w:val="00040615"/>
    <w:rsid w:val="00040893"/>
    <w:rsid w:val="00040B05"/>
    <w:rsid w:val="000419DA"/>
    <w:rsid w:val="00041DDA"/>
    <w:rsid w:val="000421E2"/>
    <w:rsid w:val="000425DB"/>
    <w:rsid w:val="000428FB"/>
    <w:rsid w:val="00042980"/>
    <w:rsid w:val="00042B93"/>
    <w:rsid w:val="00042CDF"/>
    <w:rsid w:val="00044286"/>
    <w:rsid w:val="00044394"/>
    <w:rsid w:val="00044CB0"/>
    <w:rsid w:val="00045103"/>
    <w:rsid w:val="000453A4"/>
    <w:rsid w:val="00046106"/>
    <w:rsid w:val="0004669D"/>
    <w:rsid w:val="00047285"/>
    <w:rsid w:val="0005039F"/>
    <w:rsid w:val="000509AC"/>
    <w:rsid w:val="00050F7D"/>
    <w:rsid w:val="00051272"/>
    <w:rsid w:val="0005150D"/>
    <w:rsid w:val="00051F8A"/>
    <w:rsid w:val="0005234E"/>
    <w:rsid w:val="000524D6"/>
    <w:rsid w:val="000527FB"/>
    <w:rsid w:val="0005319B"/>
    <w:rsid w:val="0005395D"/>
    <w:rsid w:val="00053AF5"/>
    <w:rsid w:val="00053D8B"/>
    <w:rsid w:val="00054C9A"/>
    <w:rsid w:val="00054F86"/>
    <w:rsid w:val="0005577A"/>
    <w:rsid w:val="00055787"/>
    <w:rsid w:val="00055BA7"/>
    <w:rsid w:val="000561A7"/>
    <w:rsid w:val="00056CAE"/>
    <w:rsid w:val="00056D7F"/>
    <w:rsid w:val="00056E15"/>
    <w:rsid w:val="000609B3"/>
    <w:rsid w:val="0006133F"/>
    <w:rsid w:val="000619B8"/>
    <w:rsid w:val="00061D42"/>
    <w:rsid w:val="00061E99"/>
    <w:rsid w:val="000620A6"/>
    <w:rsid w:val="00062922"/>
    <w:rsid w:val="0006310C"/>
    <w:rsid w:val="000631DA"/>
    <w:rsid w:val="0006341B"/>
    <w:rsid w:val="00063661"/>
    <w:rsid w:val="00063822"/>
    <w:rsid w:val="00063DD6"/>
    <w:rsid w:val="00064671"/>
    <w:rsid w:val="00064BC2"/>
    <w:rsid w:val="00064E50"/>
    <w:rsid w:val="00065AD9"/>
    <w:rsid w:val="000663B4"/>
    <w:rsid w:val="000667CB"/>
    <w:rsid w:val="00067A41"/>
    <w:rsid w:val="000713D0"/>
    <w:rsid w:val="0007199D"/>
    <w:rsid w:val="00072020"/>
    <w:rsid w:val="0007209D"/>
    <w:rsid w:val="0007244E"/>
    <w:rsid w:val="00072E78"/>
    <w:rsid w:val="0007363E"/>
    <w:rsid w:val="00073D47"/>
    <w:rsid w:val="0007442A"/>
    <w:rsid w:val="000744EA"/>
    <w:rsid w:val="00074E69"/>
    <w:rsid w:val="000752C6"/>
    <w:rsid w:val="00075567"/>
    <w:rsid w:val="00075D89"/>
    <w:rsid w:val="00076F3C"/>
    <w:rsid w:val="0007719D"/>
    <w:rsid w:val="000804C8"/>
    <w:rsid w:val="00080E72"/>
    <w:rsid w:val="000816B1"/>
    <w:rsid w:val="00082498"/>
    <w:rsid w:val="00082694"/>
    <w:rsid w:val="00082FE8"/>
    <w:rsid w:val="00083052"/>
    <w:rsid w:val="000836B1"/>
    <w:rsid w:val="00083CFB"/>
    <w:rsid w:val="00083E77"/>
    <w:rsid w:val="00084799"/>
    <w:rsid w:val="000847E0"/>
    <w:rsid w:val="000848E9"/>
    <w:rsid w:val="0008703C"/>
    <w:rsid w:val="00087C8B"/>
    <w:rsid w:val="00087E0A"/>
    <w:rsid w:val="00091938"/>
    <w:rsid w:val="000926BB"/>
    <w:rsid w:val="000931CC"/>
    <w:rsid w:val="000933B7"/>
    <w:rsid w:val="00093A55"/>
    <w:rsid w:val="000947C7"/>
    <w:rsid w:val="00094B91"/>
    <w:rsid w:val="0009504F"/>
    <w:rsid w:val="000951EA"/>
    <w:rsid w:val="000966C6"/>
    <w:rsid w:val="000968C2"/>
    <w:rsid w:val="000973FC"/>
    <w:rsid w:val="00097711"/>
    <w:rsid w:val="00097CB7"/>
    <w:rsid w:val="000A1065"/>
    <w:rsid w:val="000A1CCC"/>
    <w:rsid w:val="000A364E"/>
    <w:rsid w:val="000A3BCE"/>
    <w:rsid w:val="000A4434"/>
    <w:rsid w:val="000A46D2"/>
    <w:rsid w:val="000A4916"/>
    <w:rsid w:val="000A4ABB"/>
    <w:rsid w:val="000A4B4B"/>
    <w:rsid w:val="000A58E5"/>
    <w:rsid w:val="000A5B30"/>
    <w:rsid w:val="000A5FD3"/>
    <w:rsid w:val="000A6AD0"/>
    <w:rsid w:val="000A78C5"/>
    <w:rsid w:val="000A7D52"/>
    <w:rsid w:val="000B0E2F"/>
    <w:rsid w:val="000B1A6E"/>
    <w:rsid w:val="000B2795"/>
    <w:rsid w:val="000B2C29"/>
    <w:rsid w:val="000B397A"/>
    <w:rsid w:val="000B39D1"/>
    <w:rsid w:val="000B3C08"/>
    <w:rsid w:val="000B3F13"/>
    <w:rsid w:val="000B4BE7"/>
    <w:rsid w:val="000B4C87"/>
    <w:rsid w:val="000B4D81"/>
    <w:rsid w:val="000B4F13"/>
    <w:rsid w:val="000B5B69"/>
    <w:rsid w:val="000B6240"/>
    <w:rsid w:val="000B6241"/>
    <w:rsid w:val="000B65C7"/>
    <w:rsid w:val="000B6BD3"/>
    <w:rsid w:val="000B6BE9"/>
    <w:rsid w:val="000B7914"/>
    <w:rsid w:val="000B7AC9"/>
    <w:rsid w:val="000C05FE"/>
    <w:rsid w:val="000C073D"/>
    <w:rsid w:val="000C07CD"/>
    <w:rsid w:val="000C0836"/>
    <w:rsid w:val="000C0BCB"/>
    <w:rsid w:val="000C0C22"/>
    <w:rsid w:val="000C0F56"/>
    <w:rsid w:val="000C1238"/>
    <w:rsid w:val="000C21D6"/>
    <w:rsid w:val="000C2718"/>
    <w:rsid w:val="000C3380"/>
    <w:rsid w:val="000C35EE"/>
    <w:rsid w:val="000C419C"/>
    <w:rsid w:val="000C46C9"/>
    <w:rsid w:val="000C505E"/>
    <w:rsid w:val="000C59F4"/>
    <w:rsid w:val="000C5D41"/>
    <w:rsid w:val="000C6034"/>
    <w:rsid w:val="000C6E4E"/>
    <w:rsid w:val="000D0355"/>
    <w:rsid w:val="000D057A"/>
    <w:rsid w:val="000D05D5"/>
    <w:rsid w:val="000D06C7"/>
    <w:rsid w:val="000D1AC6"/>
    <w:rsid w:val="000D1AE7"/>
    <w:rsid w:val="000D206A"/>
    <w:rsid w:val="000D25A5"/>
    <w:rsid w:val="000D2E9C"/>
    <w:rsid w:val="000D3B12"/>
    <w:rsid w:val="000D3CC4"/>
    <w:rsid w:val="000D424E"/>
    <w:rsid w:val="000D4D39"/>
    <w:rsid w:val="000D5CF7"/>
    <w:rsid w:val="000D6001"/>
    <w:rsid w:val="000D613C"/>
    <w:rsid w:val="000D6A24"/>
    <w:rsid w:val="000D7122"/>
    <w:rsid w:val="000D7BFF"/>
    <w:rsid w:val="000E0506"/>
    <w:rsid w:val="000E1323"/>
    <w:rsid w:val="000E1409"/>
    <w:rsid w:val="000E1969"/>
    <w:rsid w:val="000E1A98"/>
    <w:rsid w:val="000E1AF6"/>
    <w:rsid w:val="000E2359"/>
    <w:rsid w:val="000E292F"/>
    <w:rsid w:val="000E2B82"/>
    <w:rsid w:val="000E3002"/>
    <w:rsid w:val="000E3647"/>
    <w:rsid w:val="000E396B"/>
    <w:rsid w:val="000E3B6A"/>
    <w:rsid w:val="000E3BC5"/>
    <w:rsid w:val="000E4177"/>
    <w:rsid w:val="000E433F"/>
    <w:rsid w:val="000E458A"/>
    <w:rsid w:val="000E4D9E"/>
    <w:rsid w:val="000E545C"/>
    <w:rsid w:val="000E5938"/>
    <w:rsid w:val="000E6105"/>
    <w:rsid w:val="000E6E51"/>
    <w:rsid w:val="000E78E7"/>
    <w:rsid w:val="000E7EB9"/>
    <w:rsid w:val="000F14D5"/>
    <w:rsid w:val="000F157A"/>
    <w:rsid w:val="000F177B"/>
    <w:rsid w:val="000F1AE8"/>
    <w:rsid w:val="000F39B9"/>
    <w:rsid w:val="000F43E1"/>
    <w:rsid w:val="000F52E6"/>
    <w:rsid w:val="000F5945"/>
    <w:rsid w:val="000F59FF"/>
    <w:rsid w:val="000F6495"/>
    <w:rsid w:val="000F6847"/>
    <w:rsid w:val="000F6F80"/>
    <w:rsid w:val="000F7510"/>
    <w:rsid w:val="000F7A32"/>
    <w:rsid w:val="0010029E"/>
    <w:rsid w:val="00100D0E"/>
    <w:rsid w:val="00100D17"/>
    <w:rsid w:val="00101910"/>
    <w:rsid w:val="0010196B"/>
    <w:rsid w:val="00102758"/>
    <w:rsid w:val="00104869"/>
    <w:rsid w:val="001053FC"/>
    <w:rsid w:val="00105AE0"/>
    <w:rsid w:val="001061F2"/>
    <w:rsid w:val="0010634E"/>
    <w:rsid w:val="00106702"/>
    <w:rsid w:val="00106C35"/>
    <w:rsid w:val="001071A2"/>
    <w:rsid w:val="001074C9"/>
    <w:rsid w:val="001077D8"/>
    <w:rsid w:val="001078A0"/>
    <w:rsid w:val="001112C0"/>
    <w:rsid w:val="001116BF"/>
    <w:rsid w:val="001121DC"/>
    <w:rsid w:val="001122E3"/>
    <w:rsid w:val="00112A23"/>
    <w:rsid w:val="00112CAB"/>
    <w:rsid w:val="0011319C"/>
    <w:rsid w:val="00113250"/>
    <w:rsid w:val="00113933"/>
    <w:rsid w:val="00113F11"/>
    <w:rsid w:val="00114A29"/>
    <w:rsid w:val="00114BC0"/>
    <w:rsid w:val="00114CE2"/>
    <w:rsid w:val="00114E7C"/>
    <w:rsid w:val="00114F2E"/>
    <w:rsid w:val="00114FBB"/>
    <w:rsid w:val="0011609C"/>
    <w:rsid w:val="001160D9"/>
    <w:rsid w:val="00117C05"/>
    <w:rsid w:val="00117C80"/>
    <w:rsid w:val="001220F7"/>
    <w:rsid w:val="0012294D"/>
    <w:rsid w:val="00122EAA"/>
    <w:rsid w:val="00123026"/>
    <w:rsid w:val="00123093"/>
    <w:rsid w:val="001235D5"/>
    <w:rsid w:val="00123841"/>
    <w:rsid w:val="00123D3D"/>
    <w:rsid w:val="00124C71"/>
    <w:rsid w:val="00124E49"/>
    <w:rsid w:val="00124F1E"/>
    <w:rsid w:val="00124F5C"/>
    <w:rsid w:val="001250FB"/>
    <w:rsid w:val="001252C3"/>
    <w:rsid w:val="0012559C"/>
    <w:rsid w:val="00125822"/>
    <w:rsid w:val="00125F9D"/>
    <w:rsid w:val="00126297"/>
    <w:rsid w:val="00126B67"/>
    <w:rsid w:val="00126DC0"/>
    <w:rsid w:val="0012726C"/>
    <w:rsid w:val="001276F7"/>
    <w:rsid w:val="00130C5F"/>
    <w:rsid w:val="00130D71"/>
    <w:rsid w:val="0013160E"/>
    <w:rsid w:val="00131ACD"/>
    <w:rsid w:val="00132E32"/>
    <w:rsid w:val="001332F4"/>
    <w:rsid w:val="001333D4"/>
    <w:rsid w:val="00133B2C"/>
    <w:rsid w:val="00133C1C"/>
    <w:rsid w:val="0013459E"/>
    <w:rsid w:val="0013492A"/>
    <w:rsid w:val="00134BC5"/>
    <w:rsid w:val="00134C61"/>
    <w:rsid w:val="00136CB5"/>
    <w:rsid w:val="00136EA4"/>
    <w:rsid w:val="0013721F"/>
    <w:rsid w:val="00137508"/>
    <w:rsid w:val="001375C3"/>
    <w:rsid w:val="00137D6E"/>
    <w:rsid w:val="0014040D"/>
    <w:rsid w:val="00141592"/>
    <w:rsid w:val="00141BCA"/>
    <w:rsid w:val="00142103"/>
    <w:rsid w:val="001421C3"/>
    <w:rsid w:val="00142E23"/>
    <w:rsid w:val="00142EBE"/>
    <w:rsid w:val="0014355C"/>
    <w:rsid w:val="00143C42"/>
    <w:rsid w:val="0014455C"/>
    <w:rsid w:val="00144AF8"/>
    <w:rsid w:val="00145441"/>
    <w:rsid w:val="001454A5"/>
    <w:rsid w:val="00145867"/>
    <w:rsid w:val="00146883"/>
    <w:rsid w:val="00147A11"/>
    <w:rsid w:val="00147CF8"/>
    <w:rsid w:val="0015089B"/>
    <w:rsid w:val="00150C92"/>
    <w:rsid w:val="00151C45"/>
    <w:rsid w:val="00151F53"/>
    <w:rsid w:val="001524A5"/>
    <w:rsid w:val="00152CB7"/>
    <w:rsid w:val="00153040"/>
    <w:rsid w:val="001530F6"/>
    <w:rsid w:val="00153C25"/>
    <w:rsid w:val="0015523A"/>
    <w:rsid w:val="00155ABF"/>
    <w:rsid w:val="00155DAF"/>
    <w:rsid w:val="00155F41"/>
    <w:rsid w:val="00156EEA"/>
    <w:rsid w:val="00156F84"/>
    <w:rsid w:val="00157BC0"/>
    <w:rsid w:val="00157FF2"/>
    <w:rsid w:val="001614D9"/>
    <w:rsid w:val="00161682"/>
    <w:rsid w:val="00161EB8"/>
    <w:rsid w:val="0016228D"/>
    <w:rsid w:val="001622E3"/>
    <w:rsid w:val="001628BA"/>
    <w:rsid w:val="00162D39"/>
    <w:rsid w:val="001640E0"/>
    <w:rsid w:val="00164175"/>
    <w:rsid w:val="00165141"/>
    <w:rsid w:val="00165927"/>
    <w:rsid w:val="001659D8"/>
    <w:rsid w:val="00166DC5"/>
    <w:rsid w:val="00167944"/>
    <w:rsid w:val="0017042D"/>
    <w:rsid w:val="001704DD"/>
    <w:rsid w:val="001706D4"/>
    <w:rsid w:val="00170A73"/>
    <w:rsid w:val="00170BDA"/>
    <w:rsid w:val="00170D64"/>
    <w:rsid w:val="00171146"/>
    <w:rsid w:val="001721CB"/>
    <w:rsid w:val="001729AA"/>
    <w:rsid w:val="001729CF"/>
    <w:rsid w:val="00172B2C"/>
    <w:rsid w:val="0017423E"/>
    <w:rsid w:val="00174E4C"/>
    <w:rsid w:val="001751BB"/>
    <w:rsid w:val="001754CA"/>
    <w:rsid w:val="0017580A"/>
    <w:rsid w:val="001761B0"/>
    <w:rsid w:val="001769A0"/>
    <w:rsid w:val="00176BB6"/>
    <w:rsid w:val="001773E4"/>
    <w:rsid w:val="0018024B"/>
    <w:rsid w:val="0018056D"/>
    <w:rsid w:val="0018077F"/>
    <w:rsid w:val="00180B43"/>
    <w:rsid w:val="00180DFD"/>
    <w:rsid w:val="001814B0"/>
    <w:rsid w:val="00181609"/>
    <w:rsid w:val="00181ECD"/>
    <w:rsid w:val="0018229D"/>
    <w:rsid w:val="0018266D"/>
    <w:rsid w:val="00182A4B"/>
    <w:rsid w:val="00182BAC"/>
    <w:rsid w:val="00184CDC"/>
    <w:rsid w:val="00184DF6"/>
    <w:rsid w:val="00184EFF"/>
    <w:rsid w:val="00184F29"/>
    <w:rsid w:val="00184F89"/>
    <w:rsid w:val="001850BC"/>
    <w:rsid w:val="001851D1"/>
    <w:rsid w:val="00185427"/>
    <w:rsid w:val="00185763"/>
    <w:rsid w:val="00185B8D"/>
    <w:rsid w:val="0018742B"/>
    <w:rsid w:val="00187752"/>
    <w:rsid w:val="001879A6"/>
    <w:rsid w:val="00187BD1"/>
    <w:rsid w:val="001908B7"/>
    <w:rsid w:val="00191592"/>
    <w:rsid w:val="00191918"/>
    <w:rsid w:val="00191FDF"/>
    <w:rsid w:val="0019238B"/>
    <w:rsid w:val="001924A5"/>
    <w:rsid w:val="001926AE"/>
    <w:rsid w:val="001931B0"/>
    <w:rsid w:val="0019392B"/>
    <w:rsid w:val="00193B14"/>
    <w:rsid w:val="00193F12"/>
    <w:rsid w:val="00193FDA"/>
    <w:rsid w:val="001940FB"/>
    <w:rsid w:val="00194260"/>
    <w:rsid w:val="00194842"/>
    <w:rsid w:val="001955E1"/>
    <w:rsid w:val="00196064"/>
    <w:rsid w:val="00197553"/>
    <w:rsid w:val="0019769E"/>
    <w:rsid w:val="001978EF"/>
    <w:rsid w:val="001A13FC"/>
    <w:rsid w:val="001A1531"/>
    <w:rsid w:val="001A1733"/>
    <w:rsid w:val="001A1D49"/>
    <w:rsid w:val="001A22B5"/>
    <w:rsid w:val="001A286B"/>
    <w:rsid w:val="001A302E"/>
    <w:rsid w:val="001A408C"/>
    <w:rsid w:val="001A452E"/>
    <w:rsid w:val="001A5641"/>
    <w:rsid w:val="001A5F8C"/>
    <w:rsid w:val="001A6529"/>
    <w:rsid w:val="001A6EB6"/>
    <w:rsid w:val="001A70D8"/>
    <w:rsid w:val="001B0008"/>
    <w:rsid w:val="001B0757"/>
    <w:rsid w:val="001B0958"/>
    <w:rsid w:val="001B214D"/>
    <w:rsid w:val="001B21D7"/>
    <w:rsid w:val="001B23C2"/>
    <w:rsid w:val="001B243D"/>
    <w:rsid w:val="001B2BEF"/>
    <w:rsid w:val="001B2F5B"/>
    <w:rsid w:val="001B3402"/>
    <w:rsid w:val="001B360E"/>
    <w:rsid w:val="001B40DC"/>
    <w:rsid w:val="001B44FC"/>
    <w:rsid w:val="001B4B08"/>
    <w:rsid w:val="001B4F9D"/>
    <w:rsid w:val="001B50DE"/>
    <w:rsid w:val="001B53D5"/>
    <w:rsid w:val="001B5B16"/>
    <w:rsid w:val="001B5E73"/>
    <w:rsid w:val="001B5FFA"/>
    <w:rsid w:val="001B6AE2"/>
    <w:rsid w:val="001C0007"/>
    <w:rsid w:val="001C02FE"/>
    <w:rsid w:val="001C03BA"/>
    <w:rsid w:val="001C12EF"/>
    <w:rsid w:val="001C1619"/>
    <w:rsid w:val="001C19D7"/>
    <w:rsid w:val="001C1C1B"/>
    <w:rsid w:val="001C2728"/>
    <w:rsid w:val="001C2928"/>
    <w:rsid w:val="001C2D55"/>
    <w:rsid w:val="001C2D85"/>
    <w:rsid w:val="001C32E4"/>
    <w:rsid w:val="001C33FC"/>
    <w:rsid w:val="001C38A4"/>
    <w:rsid w:val="001C3EC7"/>
    <w:rsid w:val="001C4233"/>
    <w:rsid w:val="001C445B"/>
    <w:rsid w:val="001C4922"/>
    <w:rsid w:val="001C4B99"/>
    <w:rsid w:val="001C52DC"/>
    <w:rsid w:val="001C5ECD"/>
    <w:rsid w:val="001C6077"/>
    <w:rsid w:val="001C60B1"/>
    <w:rsid w:val="001C6349"/>
    <w:rsid w:val="001C688C"/>
    <w:rsid w:val="001C779B"/>
    <w:rsid w:val="001C7A0B"/>
    <w:rsid w:val="001D0346"/>
    <w:rsid w:val="001D105A"/>
    <w:rsid w:val="001D2294"/>
    <w:rsid w:val="001D2EAD"/>
    <w:rsid w:val="001D2EC1"/>
    <w:rsid w:val="001D2FAA"/>
    <w:rsid w:val="001D307C"/>
    <w:rsid w:val="001D38CB"/>
    <w:rsid w:val="001D38EC"/>
    <w:rsid w:val="001D3963"/>
    <w:rsid w:val="001D3B63"/>
    <w:rsid w:val="001D3C1B"/>
    <w:rsid w:val="001D3DC2"/>
    <w:rsid w:val="001D3EA3"/>
    <w:rsid w:val="001D4545"/>
    <w:rsid w:val="001D457D"/>
    <w:rsid w:val="001D47BF"/>
    <w:rsid w:val="001D52B3"/>
    <w:rsid w:val="001D5B09"/>
    <w:rsid w:val="001D606D"/>
    <w:rsid w:val="001D62BB"/>
    <w:rsid w:val="001D7898"/>
    <w:rsid w:val="001D7BDF"/>
    <w:rsid w:val="001D7F5F"/>
    <w:rsid w:val="001E044A"/>
    <w:rsid w:val="001E128E"/>
    <w:rsid w:val="001E154D"/>
    <w:rsid w:val="001E158E"/>
    <w:rsid w:val="001E1FD9"/>
    <w:rsid w:val="001E2526"/>
    <w:rsid w:val="001E2B8F"/>
    <w:rsid w:val="001E43A7"/>
    <w:rsid w:val="001E5963"/>
    <w:rsid w:val="001E60C4"/>
    <w:rsid w:val="001E776F"/>
    <w:rsid w:val="001F01E0"/>
    <w:rsid w:val="001F19B6"/>
    <w:rsid w:val="001F2029"/>
    <w:rsid w:val="001F2E15"/>
    <w:rsid w:val="001F339F"/>
    <w:rsid w:val="001F3771"/>
    <w:rsid w:val="001F3E89"/>
    <w:rsid w:val="001F5056"/>
    <w:rsid w:val="001F54EE"/>
    <w:rsid w:val="001F55CD"/>
    <w:rsid w:val="001F62DB"/>
    <w:rsid w:val="001F6C92"/>
    <w:rsid w:val="001F6E59"/>
    <w:rsid w:val="001F7B01"/>
    <w:rsid w:val="001F7CA3"/>
    <w:rsid w:val="001F7FE2"/>
    <w:rsid w:val="002002AB"/>
    <w:rsid w:val="00201BEA"/>
    <w:rsid w:val="00201DB1"/>
    <w:rsid w:val="00202CD2"/>
    <w:rsid w:val="0020431A"/>
    <w:rsid w:val="002043D4"/>
    <w:rsid w:val="002045EF"/>
    <w:rsid w:val="0020481F"/>
    <w:rsid w:val="00204A58"/>
    <w:rsid w:val="00204E17"/>
    <w:rsid w:val="0020500D"/>
    <w:rsid w:val="0020531B"/>
    <w:rsid w:val="00205EFF"/>
    <w:rsid w:val="0020672F"/>
    <w:rsid w:val="00206C76"/>
    <w:rsid w:val="00207999"/>
    <w:rsid w:val="00207D5B"/>
    <w:rsid w:val="00207E7A"/>
    <w:rsid w:val="002104BE"/>
    <w:rsid w:val="00210E0F"/>
    <w:rsid w:val="0021115E"/>
    <w:rsid w:val="002114A8"/>
    <w:rsid w:val="00211542"/>
    <w:rsid w:val="0021190D"/>
    <w:rsid w:val="00211D21"/>
    <w:rsid w:val="00211D7F"/>
    <w:rsid w:val="00212471"/>
    <w:rsid w:val="002124F9"/>
    <w:rsid w:val="002126D5"/>
    <w:rsid w:val="0021284E"/>
    <w:rsid w:val="00212BC1"/>
    <w:rsid w:val="0021352F"/>
    <w:rsid w:val="0021425E"/>
    <w:rsid w:val="00214F79"/>
    <w:rsid w:val="00216624"/>
    <w:rsid w:val="0021681D"/>
    <w:rsid w:val="00216C94"/>
    <w:rsid w:val="00220271"/>
    <w:rsid w:val="0022052F"/>
    <w:rsid w:val="002209AE"/>
    <w:rsid w:val="00220E47"/>
    <w:rsid w:val="00221881"/>
    <w:rsid w:val="00221FFE"/>
    <w:rsid w:val="00222DA1"/>
    <w:rsid w:val="00222F65"/>
    <w:rsid w:val="002246F5"/>
    <w:rsid w:val="00225C7E"/>
    <w:rsid w:val="0022704B"/>
    <w:rsid w:val="00227451"/>
    <w:rsid w:val="0022795E"/>
    <w:rsid w:val="0023003B"/>
    <w:rsid w:val="0023040D"/>
    <w:rsid w:val="00231612"/>
    <w:rsid w:val="00231928"/>
    <w:rsid w:val="00231C8D"/>
    <w:rsid w:val="00232E50"/>
    <w:rsid w:val="00232F9A"/>
    <w:rsid w:val="002330E7"/>
    <w:rsid w:val="002334A7"/>
    <w:rsid w:val="0023418F"/>
    <w:rsid w:val="00234B65"/>
    <w:rsid w:val="00234B75"/>
    <w:rsid w:val="00234F26"/>
    <w:rsid w:val="0023592A"/>
    <w:rsid w:val="00235F2D"/>
    <w:rsid w:val="002363A2"/>
    <w:rsid w:val="00237008"/>
    <w:rsid w:val="002370FA"/>
    <w:rsid w:val="0023717F"/>
    <w:rsid w:val="002375E7"/>
    <w:rsid w:val="002379A7"/>
    <w:rsid w:val="00237C54"/>
    <w:rsid w:val="0024017E"/>
    <w:rsid w:val="002403AC"/>
    <w:rsid w:val="002405A9"/>
    <w:rsid w:val="0024072D"/>
    <w:rsid w:val="0024131C"/>
    <w:rsid w:val="00241756"/>
    <w:rsid w:val="00241D0F"/>
    <w:rsid w:val="00242167"/>
    <w:rsid w:val="00242668"/>
    <w:rsid w:val="00242E0E"/>
    <w:rsid w:val="00242F9E"/>
    <w:rsid w:val="0024319B"/>
    <w:rsid w:val="00243C60"/>
    <w:rsid w:val="0024406E"/>
    <w:rsid w:val="0024443F"/>
    <w:rsid w:val="002445AE"/>
    <w:rsid w:val="00244B3E"/>
    <w:rsid w:val="00244BA5"/>
    <w:rsid w:val="002450A6"/>
    <w:rsid w:val="00245260"/>
    <w:rsid w:val="00245569"/>
    <w:rsid w:val="0024657B"/>
    <w:rsid w:val="0024682D"/>
    <w:rsid w:val="00246CEE"/>
    <w:rsid w:val="00246D8F"/>
    <w:rsid w:val="002472EF"/>
    <w:rsid w:val="002504C9"/>
    <w:rsid w:val="00251129"/>
    <w:rsid w:val="00251263"/>
    <w:rsid w:val="00251928"/>
    <w:rsid w:val="00251A8E"/>
    <w:rsid w:val="00251B15"/>
    <w:rsid w:val="002526AE"/>
    <w:rsid w:val="00252BDD"/>
    <w:rsid w:val="00252C12"/>
    <w:rsid w:val="0025336A"/>
    <w:rsid w:val="002534DD"/>
    <w:rsid w:val="00254B04"/>
    <w:rsid w:val="00255016"/>
    <w:rsid w:val="002555C7"/>
    <w:rsid w:val="002556A5"/>
    <w:rsid w:val="00255754"/>
    <w:rsid w:val="00256448"/>
    <w:rsid w:val="002573D2"/>
    <w:rsid w:val="00257E69"/>
    <w:rsid w:val="00260A26"/>
    <w:rsid w:val="0026104C"/>
    <w:rsid w:val="002614FE"/>
    <w:rsid w:val="00261C14"/>
    <w:rsid w:val="00261D33"/>
    <w:rsid w:val="0026213C"/>
    <w:rsid w:val="0026213E"/>
    <w:rsid w:val="002624EA"/>
    <w:rsid w:val="002636D4"/>
    <w:rsid w:val="002637FC"/>
    <w:rsid w:val="0026553F"/>
    <w:rsid w:val="00265606"/>
    <w:rsid w:val="00266826"/>
    <w:rsid w:val="00267B64"/>
    <w:rsid w:val="00267C93"/>
    <w:rsid w:val="00267E26"/>
    <w:rsid w:val="00267EFD"/>
    <w:rsid w:val="0027066F"/>
    <w:rsid w:val="00270B88"/>
    <w:rsid w:val="002713FD"/>
    <w:rsid w:val="0027208F"/>
    <w:rsid w:val="002722E4"/>
    <w:rsid w:val="00272750"/>
    <w:rsid w:val="00272FB7"/>
    <w:rsid w:val="00273998"/>
    <w:rsid w:val="002747DB"/>
    <w:rsid w:val="002749B6"/>
    <w:rsid w:val="00275323"/>
    <w:rsid w:val="0027533E"/>
    <w:rsid w:val="002754FC"/>
    <w:rsid w:val="002755B1"/>
    <w:rsid w:val="002758C1"/>
    <w:rsid w:val="00275CA3"/>
    <w:rsid w:val="00275CBF"/>
    <w:rsid w:val="002760D1"/>
    <w:rsid w:val="00276C0A"/>
    <w:rsid w:val="00277946"/>
    <w:rsid w:val="00277A4C"/>
    <w:rsid w:val="00280421"/>
    <w:rsid w:val="00281334"/>
    <w:rsid w:val="00281BF4"/>
    <w:rsid w:val="00281C2C"/>
    <w:rsid w:val="00281CC3"/>
    <w:rsid w:val="00281DF5"/>
    <w:rsid w:val="00281F03"/>
    <w:rsid w:val="00283C82"/>
    <w:rsid w:val="00284EE3"/>
    <w:rsid w:val="00285816"/>
    <w:rsid w:val="00285DC9"/>
    <w:rsid w:val="00285E93"/>
    <w:rsid w:val="00286020"/>
    <w:rsid w:val="0028613A"/>
    <w:rsid w:val="00286183"/>
    <w:rsid w:val="00286AC2"/>
    <w:rsid w:val="00286BF7"/>
    <w:rsid w:val="00286C05"/>
    <w:rsid w:val="002878B6"/>
    <w:rsid w:val="00287E62"/>
    <w:rsid w:val="002905FA"/>
    <w:rsid w:val="00290C34"/>
    <w:rsid w:val="00290C55"/>
    <w:rsid w:val="00291156"/>
    <w:rsid w:val="0029153B"/>
    <w:rsid w:val="002918AF"/>
    <w:rsid w:val="00291934"/>
    <w:rsid w:val="00291971"/>
    <w:rsid w:val="00291BA7"/>
    <w:rsid w:val="00291BFB"/>
    <w:rsid w:val="00291E2C"/>
    <w:rsid w:val="00292E29"/>
    <w:rsid w:val="002931D1"/>
    <w:rsid w:val="00293738"/>
    <w:rsid w:val="00293955"/>
    <w:rsid w:val="00293B1F"/>
    <w:rsid w:val="00293C58"/>
    <w:rsid w:val="00293F35"/>
    <w:rsid w:val="0029499F"/>
    <w:rsid w:val="00294BC3"/>
    <w:rsid w:val="0029516B"/>
    <w:rsid w:val="00295507"/>
    <w:rsid w:val="00295828"/>
    <w:rsid w:val="00295AEA"/>
    <w:rsid w:val="00296C8C"/>
    <w:rsid w:val="002A1128"/>
    <w:rsid w:val="002A2176"/>
    <w:rsid w:val="002A584B"/>
    <w:rsid w:val="002A5E51"/>
    <w:rsid w:val="002A6659"/>
    <w:rsid w:val="002A7158"/>
    <w:rsid w:val="002A71E8"/>
    <w:rsid w:val="002A75B8"/>
    <w:rsid w:val="002A76EA"/>
    <w:rsid w:val="002B01A8"/>
    <w:rsid w:val="002B1405"/>
    <w:rsid w:val="002B274C"/>
    <w:rsid w:val="002B2860"/>
    <w:rsid w:val="002B34C4"/>
    <w:rsid w:val="002B372B"/>
    <w:rsid w:val="002B47CC"/>
    <w:rsid w:val="002B4EB2"/>
    <w:rsid w:val="002B5259"/>
    <w:rsid w:val="002B579F"/>
    <w:rsid w:val="002B5865"/>
    <w:rsid w:val="002B5B3E"/>
    <w:rsid w:val="002B5C03"/>
    <w:rsid w:val="002B5D86"/>
    <w:rsid w:val="002B5E9F"/>
    <w:rsid w:val="002B5FD0"/>
    <w:rsid w:val="002B66D7"/>
    <w:rsid w:val="002B693D"/>
    <w:rsid w:val="002B745E"/>
    <w:rsid w:val="002B7ADB"/>
    <w:rsid w:val="002C0684"/>
    <w:rsid w:val="002C0876"/>
    <w:rsid w:val="002C178F"/>
    <w:rsid w:val="002C38AC"/>
    <w:rsid w:val="002C4869"/>
    <w:rsid w:val="002C4D89"/>
    <w:rsid w:val="002C5072"/>
    <w:rsid w:val="002C5778"/>
    <w:rsid w:val="002C62C3"/>
    <w:rsid w:val="002C672E"/>
    <w:rsid w:val="002C6B93"/>
    <w:rsid w:val="002C7261"/>
    <w:rsid w:val="002C77BC"/>
    <w:rsid w:val="002D08B0"/>
    <w:rsid w:val="002D08C7"/>
    <w:rsid w:val="002D0BF1"/>
    <w:rsid w:val="002D17AE"/>
    <w:rsid w:val="002D1813"/>
    <w:rsid w:val="002D2200"/>
    <w:rsid w:val="002D2BFE"/>
    <w:rsid w:val="002D2DB7"/>
    <w:rsid w:val="002D3008"/>
    <w:rsid w:val="002D30B2"/>
    <w:rsid w:val="002D3AD2"/>
    <w:rsid w:val="002D43A9"/>
    <w:rsid w:val="002D4A3E"/>
    <w:rsid w:val="002D568C"/>
    <w:rsid w:val="002D59E3"/>
    <w:rsid w:val="002D5A4F"/>
    <w:rsid w:val="002D5C77"/>
    <w:rsid w:val="002D5F6A"/>
    <w:rsid w:val="002D64E1"/>
    <w:rsid w:val="002D7B32"/>
    <w:rsid w:val="002D7DB9"/>
    <w:rsid w:val="002E07C4"/>
    <w:rsid w:val="002E0869"/>
    <w:rsid w:val="002E0B7F"/>
    <w:rsid w:val="002E1F8C"/>
    <w:rsid w:val="002E25E6"/>
    <w:rsid w:val="002E295C"/>
    <w:rsid w:val="002E42FD"/>
    <w:rsid w:val="002E44CE"/>
    <w:rsid w:val="002E481E"/>
    <w:rsid w:val="002E60BF"/>
    <w:rsid w:val="002E61E1"/>
    <w:rsid w:val="002F0541"/>
    <w:rsid w:val="002F05C6"/>
    <w:rsid w:val="002F0787"/>
    <w:rsid w:val="002F0B7C"/>
    <w:rsid w:val="002F0E58"/>
    <w:rsid w:val="002F1B1F"/>
    <w:rsid w:val="002F23DA"/>
    <w:rsid w:val="002F36DA"/>
    <w:rsid w:val="002F3721"/>
    <w:rsid w:val="002F3D0E"/>
    <w:rsid w:val="002F4723"/>
    <w:rsid w:val="002F4B44"/>
    <w:rsid w:val="002F4B5E"/>
    <w:rsid w:val="002F5014"/>
    <w:rsid w:val="002F50F0"/>
    <w:rsid w:val="002F50F8"/>
    <w:rsid w:val="002F56B8"/>
    <w:rsid w:val="002F5DEF"/>
    <w:rsid w:val="002F6498"/>
    <w:rsid w:val="002F66A7"/>
    <w:rsid w:val="002F69BF"/>
    <w:rsid w:val="003022DC"/>
    <w:rsid w:val="00304290"/>
    <w:rsid w:val="00304DB8"/>
    <w:rsid w:val="003059AC"/>
    <w:rsid w:val="00305DCA"/>
    <w:rsid w:val="0030749D"/>
    <w:rsid w:val="00307546"/>
    <w:rsid w:val="0030799E"/>
    <w:rsid w:val="00307B9D"/>
    <w:rsid w:val="00310056"/>
    <w:rsid w:val="00310A0D"/>
    <w:rsid w:val="00310C95"/>
    <w:rsid w:val="003111E5"/>
    <w:rsid w:val="0031165F"/>
    <w:rsid w:val="00311E50"/>
    <w:rsid w:val="003120A7"/>
    <w:rsid w:val="00312404"/>
    <w:rsid w:val="00312C2E"/>
    <w:rsid w:val="00312E53"/>
    <w:rsid w:val="00313032"/>
    <w:rsid w:val="00313196"/>
    <w:rsid w:val="0031356E"/>
    <w:rsid w:val="00313D7C"/>
    <w:rsid w:val="00313E94"/>
    <w:rsid w:val="00314222"/>
    <w:rsid w:val="00314A04"/>
    <w:rsid w:val="00314F4A"/>
    <w:rsid w:val="00315DC3"/>
    <w:rsid w:val="00315F30"/>
    <w:rsid w:val="00316DD7"/>
    <w:rsid w:val="00317D08"/>
    <w:rsid w:val="00317FF6"/>
    <w:rsid w:val="00320CEA"/>
    <w:rsid w:val="00321DBD"/>
    <w:rsid w:val="00322573"/>
    <w:rsid w:val="003226A4"/>
    <w:rsid w:val="0032282D"/>
    <w:rsid w:val="003228D3"/>
    <w:rsid w:val="00322AA8"/>
    <w:rsid w:val="00323A95"/>
    <w:rsid w:val="00323ABA"/>
    <w:rsid w:val="00323D27"/>
    <w:rsid w:val="003240F6"/>
    <w:rsid w:val="00324C45"/>
    <w:rsid w:val="003253C6"/>
    <w:rsid w:val="003255D4"/>
    <w:rsid w:val="00325B9C"/>
    <w:rsid w:val="00325DE9"/>
    <w:rsid w:val="00326121"/>
    <w:rsid w:val="0032685B"/>
    <w:rsid w:val="00326B1C"/>
    <w:rsid w:val="00330531"/>
    <w:rsid w:val="00330596"/>
    <w:rsid w:val="0033059C"/>
    <w:rsid w:val="00330810"/>
    <w:rsid w:val="00331B3F"/>
    <w:rsid w:val="00331CC0"/>
    <w:rsid w:val="0033305F"/>
    <w:rsid w:val="00334023"/>
    <w:rsid w:val="00334DDA"/>
    <w:rsid w:val="0033560D"/>
    <w:rsid w:val="00336679"/>
    <w:rsid w:val="003375AA"/>
    <w:rsid w:val="00337F38"/>
    <w:rsid w:val="00340851"/>
    <w:rsid w:val="003410F1"/>
    <w:rsid w:val="0034145F"/>
    <w:rsid w:val="003415C8"/>
    <w:rsid w:val="00343673"/>
    <w:rsid w:val="0034388F"/>
    <w:rsid w:val="003438FC"/>
    <w:rsid w:val="00343FC1"/>
    <w:rsid w:val="003441E0"/>
    <w:rsid w:val="00344352"/>
    <w:rsid w:val="00344526"/>
    <w:rsid w:val="0034512C"/>
    <w:rsid w:val="00345245"/>
    <w:rsid w:val="00345679"/>
    <w:rsid w:val="00345E01"/>
    <w:rsid w:val="003461C7"/>
    <w:rsid w:val="003464A2"/>
    <w:rsid w:val="00346ADF"/>
    <w:rsid w:val="00347336"/>
    <w:rsid w:val="00347DA6"/>
    <w:rsid w:val="003502F2"/>
    <w:rsid w:val="0035071D"/>
    <w:rsid w:val="003510BE"/>
    <w:rsid w:val="00351ADA"/>
    <w:rsid w:val="0035203F"/>
    <w:rsid w:val="003521A0"/>
    <w:rsid w:val="00352EBD"/>
    <w:rsid w:val="0035399A"/>
    <w:rsid w:val="00353BE2"/>
    <w:rsid w:val="00353D01"/>
    <w:rsid w:val="0035402C"/>
    <w:rsid w:val="0035425B"/>
    <w:rsid w:val="00354C13"/>
    <w:rsid w:val="00354D46"/>
    <w:rsid w:val="00354E1C"/>
    <w:rsid w:val="00354FE9"/>
    <w:rsid w:val="00355BA5"/>
    <w:rsid w:val="003560B0"/>
    <w:rsid w:val="00356808"/>
    <w:rsid w:val="00356907"/>
    <w:rsid w:val="00356D46"/>
    <w:rsid w:val="00356DDE"/>
    <w:rsid w:val="00356EEE"/>
    <w:rsid w:val="00357B2C"/>
    <w:rsid w:val="00360402"/>
    <w:rsid w:val="00360591"/>
    <w:rsid w:val="003610F6"/>
    <w:rsid w:val="003612B0"/>
    <w:rsid w:val="00361F79"/>
    <w:rsid w:val="00362794"/>
    <w:rsid w:val="003631C1"/>
    <w:rsid w:val="00363609"/>
    <w:rsid w:val="00364913"/>
    <w:rsid w:val="00364BB5"/>
    <w:rsid w:val="00365452"/>
    <w:rsid w:val="003657AD"/>
    <w:rsid w:val="003658FA"/>
    <w:rsid w:val="00365A1F"/>
    <w:rsid w:val="00365C4E"/>
    <w:rsid w:val="00365EF2"/>
    <w:rsid w:val="003664E7"/>
    <w:rsid w:val="003665D0"/>
    <w:rsid w:val="003677B9"/>
    <w:rsid w:val="00367F32"/>
    <w:rsid w:val="00370490"/>
    <w:rsid w:val="003704F6"/>
    <w:rsid w:val="00370FC5"/>
    <w:rsid w:val="00371378"/>
    <w:rsid w:val="003723EB"/>
    <w:rsid w:val="00372E7E"/>
    <w:rsid w:val="00373B37"/>
    <w:rsid w:val="00373C21"/>
    <w:rsid w:val="0037433A"/>
    <w:rsid w:val="00374525"/>
    <w:rsid w:val="00374B3B"/>
    <w:rsid w:val="00375167"/>
    <w:rsid w:val="00375390"/>
    <w:rsid w:val="00375534"/>
    <w:rsid w:val="00375D44"/>
    <w:rsid w:val="00376338"/>
    <w:rsid w:val="003763B3"/>
    <w:rsid w:val="0037644B"/>
    <w:rsid w:val="0037673C"/>
    <w:rsid w:val="00380280"/>
    <w:rsid w:val="003808C5"/>
    <w:rsid w:val="003816AF"/>
    <w:rsid w:val="003816D4"/>
    <w:rsid w:val="003818AF"/>
    <w:rsid w:val="00381BE6"/>
    <w:rsid w:val="00381EB3"/>
    <w:rsid w:val="003834CA"/>
    <w:rsid w:val="00383B00"/>
    <w:rsid w:val="003841D6"/>
    <w:rsid w:val="00385B2D"/>
    <w:rsid w:val="00385E4E"/>
    <w:rsid w:val="0038672C"/>
    <w:rsid w:val="00386FAB"/>
    <w:rsid w:val="003871F7"/>
    <w:rsid w:val="00387272"/>
    <w:rsid w:val="003875B1"/>
    <w:rsid w:val="00387AD2"/>
    <w:rsid w:val="003901A7"/>
    <w:rsid w:val="003903FD"/>
    <w:rsid w:val="003906B9"/>
    <w:rsid w:val="00390CFA"/>
    <w:rsid w:val="00391958"/>
    <w:rsid w:val="00391A2E"/>
    <w:rsid w:val="00391AA2"/>
    <w:rsid w:val="00391C12"/>
    <w:rsid w:val="0039268E"/>
    <w:rsid w:val="00392A71"/>
    <w:rsid w:val="00393257"/>
    <w:rsid w:val="00393EBB"/>
    <w:rsid w:val="003941FD"/>
    <w:rsid w:val="003942FF"/>
    <w:rsid w:val="0039451A"/>
    <w:rsid w:val="0039505E"/>
    <w:rsid w:val="0039517D"/>
    <w:rsid w:val="0039567E"/>
    <w:rsid w:val="00395C93"/>
    <w:rsid w:val="00396AEB"/>
    <w:rsid w:val="00396F52"/>
    <w:rsid w:val="0039740E"/>
    <w:rsid w:val="00397457"/>
    <w:rsid w:val="003A0358"/>
    <w:rsid w:val="003A1350"/>
    <w:rsid w:val="003A1A3C"/>
    <w:rsid w:val="003A22E1"/>
    <w:rsid w:val="003A3887"/>
    <w:rsid w:val="003A3C36"/>
    <w:rsid w:val="003A4022"/>
    <w:rsid w:val="003A40DB"/>
    <w:rsid w:val="003A4AA3"/>
    <w:rsid w:val="003A4ADC"/>
    <w:rsid w:val="003A4D8F"/>
    <w:rsid w:val="003A51D5"/>
    <w:rsid w:val="003A5A9A"/>
    <w:rsid w:val="003A5E03"/>
    <w:rsid w:val="003A74FB"/>
    <w:rsid w:val="003A7D36"/>
    <w:rsid w:val="003B01E5"/>
    <w:rsid w:val="003B031A"/>
    <w:rsid w:val="003B05F1"/>
    <w:rsid w:val="003B0CA3"/>
    <w:rsid w:val="003B0E8A"/>
    <w:rsid w:val="003B1883"/>
    <w:rsid w:val="003B1B89"/>
    <w:rsid w:val="003B1DC3"/>
    <w:rsid w:val="003B305A"/>
    <w:rsid w:val="003B3996"/>
    <w:rsid w:val="003B3BCA"/>
    <w:rsid w:val="003B4B73"/>
    <w:rsid w:val="003B53AB"/>
    <w:rsid w:val="003B5662"/>
    <w:rsid w:val="003B5680"/>
    <w:rsid w:val="003B5ADF"/>
    <w:rsid w:val="003B6143"/>
    <w:rsid w:val="003B651E"/>
    <w:rsid w:val="003B6D77"/>
    <w:rsid w:val="003B76A0"/>
    <w:rsid w:val="003B7BAC"/>
    <w:rsid w:val="003C1068"/>
    <w:rsid w:val="003C18BC"/>
    <w:rsid w:val="003C2910"/>
    <w:rsid w:val="003C3E5D"/>
    <w:rsid w:val="003C44AF"/>
    <w:rsid w:val="003C4543"/>
    <w:rsid w:val="003C4F37"/>
    <w:rsid w:val="003C505D"/>
    <w:rsid w:val="003C5823"/>
    <w:rsid w:val="003C5982"/>
    <w:rsid w:val="003C6876"/>
    <w:rsid w:val="003C6D1B"/>
    <w:rsid w:val="003C754D"/>
    <w:rsid w:val="003C7613"/>
    <w:rsid w:val="003C7EB4"/>
    <w:rsid w:val="003C7F0A"/>
    <w:rsid w:val="003C7FF1"/>
    <w:rsid w:val="003D06D4"/>
    <w:rsid w:val="003D0BAD"/>
    <w:rsid w:val="003D120E"/>
    <w:rsid w:val="003D26AA"/>
    <w:rsid w:val="003D2A6F"/>
    <w:rsid w:val="003D2CB2"/>
    <w:rsid w:val="003D2F9E"/>
    <w:rsid w:val="003D3267"/>
    <w:rsid w:val="003D37A5"/>
    <w:rsid w:val="003D389E"/>
    <w:rsid w:val="003D395A"/>
    <w:rsid w:val="003D3D3B"/>
    <w:rsid w:val="003D4178"/>
    <w:rsid w:val="003D4B90"/>
    <w:rsid w:val="003D5006"/>
    <w:rsid w:val="003D5059"/>
    <w:rsid w:val="003D61A3"/>
    <w:rsid w:val="003D6BD4"/>
    <w:rsid w:val="003D6F25"/>
    <w:rsid w:val="003D711E"/>
    <w:rsid w:val="003D7CFD"/>
    <w:rsid w:val="003E01F6"/>
    <w:rsid w:val="003E02F4"/>
    <w:rsid w:val="003E0888"/>
    <w:rsid w:val="003E1110"/>
    <w:rsid w:val="003E1665"/>
    <w:rsid w:val="003E1693"/>
    <w:rsid w:val="003E26D9"/>
    <w:rsid w:val="003E2A08"/>
    <w:rsid w:val="003E333E"/>
    <w:rsid w:val="003E3A47"/>
    <w:rsid w:val="003E3EA5"/>
    <w:rsid w:val="003E4319"/>
    <w:rsid w:val="003E45A1"/>
    <w:rsid w:val="003E4752"/>
    <w:rsid w:val="003E486C"/>
    <w:rsid w:val="003E49FA"/>
    <w:rsid w:val="003E509A"/>
    <w:rsid w:val="003E53E7"/>
    <w:rsid w:val="003E600F"/>
    <w:rsid w:val="003E6D6F"/>
    <w:rsid w:val="003E732E"/>
    <w:rsid w:val="003E7701"/>
    <w:rsid w:val="003E7FA4"/>
    <w:rsid w:val="003F0015"/>
    <w:rsid w:val="003F1B4B"/>
    <w:rsid w:val="003F1DF1"/>
    <w:rsid w:val="003F2382"/>
    <w:rsid w:val="003F2520"/>
    <w:rsid w:val="003F2E81"/>
    <w:rsid w:val="003F387A"/>
    <w:rsid w:val="003F3AF6"/>
    <w:rsid w:val="003F409C"/>
    <w:rsid w:val="003F462D"/>
    <w:rsid w:val="003F4A06"/>
    <w:rsid w:val="003F6048"/>
    <w:rsid w:val="003F72DB"/>
    <w:rsid w:val="003F7BAA"/>
    <w:rsid w:val="0040011C"/>
    <w:rsid w:val="004008EB"/>
    <w:rsid w:val="0040168C"/>
    <w:rsid w:val="00402EB2"/>
    <w:rsid w:val="004032D7"/>
    <w:rsid w:val="00403D43"/>
    <w:rsid w:val="00403D9D"/>
    <w:rsid w:val="0040443B"/>
    <w:rsid w:val="00404AEE"/>
    <w:rsid w:val="00405A08"/>
    <w:rsid w:val="00405E55"/>
    <w:rsid w:val="00406C9A"/>
    <w:rsid w:val="00406CA4"/>
    <w:rsid w:val="00406E0C"/>
    <w:rsid w:val="0040728C"/>
    <w:rsid w:val="00407BD9"/>
    <w:rsid w:val="00407C44"/>
    <w:rsid w:val="0041016B"/>
    <w:rsid w:val="0041025E"/>
    <w:rsid w:val="004104BB"/>
    <w:rsid w:val="00410D58"/>
    <w:rsid w:val="0041191D"/>
    <w:rsid w:val="00411B7A"/>
    <w:rsid w:val="00411BEF"/>
    <w:rsid w:val="00411D87"/>
    <w:rsid w:val="00411E6A"/>
    <w:rsid w:val="00411E9B"/>
    <w:rsid w:val="00412D4A"/>
    <w:rsid w:val="00413424"/>
    <w:rsid w:val="0041357D"/>
    <w:rsid w:val="00413868"/>
    <w:rsid w:val="004147F9"/>
    <w:rsid w:val="004149E2"/>
    <w:rsid w:val="00414A31"/>
    <w:rsid w:val="00414E88"/>
    <w:rsid w:val="00415CEA"/>
    <w:rsid w:val="0041607B"/>
    <w:rsid w:val="00416383"/>
    <w:rsid w:val="004165B9"/>
    <w:rsid w:val="00416DCF"/>
    <w:rsid w:val="00417875"/>
    <w:rsid w:val="00420285"/>
    <w:rsid w:val="00420448"/>
    <w:rsid w:val="0042075E"/>
    <w:rsid w:val="004213CA"/>
    <w:rsid w:val="00421F6D"/>
    <w:rsid w:val="00422BA2"/>
    <w:rsid w:val="00423532"/>
    <w:rsid w:val="00423DC3"/>
    <w:rsid w:val="00425049"/>
    <w:rsid w:val="004253D5"/>
    <w:rsid w:val="00425442"/>
    <w:rsid w:val="004258AC"/>
    <w:rsid w:val="00425D94"/>
    <w:rsid w:val="00426303"/>
    <w:rsid w:val="0042764D"/>
    <w:rsid w:val="00427BEE"/>
    <w:rsid w:val="00427F91"/>
    <w:rsid w:val="00430CCC"/>
    <w:rsid w:val="00430DEB"/>
    <w:rsid w:val="004312BA"/>
    <w:rsid w:val="00431CB7"/>
    <w:rsid w:val="00431DFB"/>
    <w:rsid w:val="00432817"/>
    <w:rsid w:val="00432B75"/>
    <w:rsid w:val="004334C8"/>
    <w:rsid w:val="004334D5"/>
    <w:rsid w:val="00433CBC"/>
    <w:rsid w:val="00433DDA"/>
    <w:rsid w:val="00433F71"/>
    <w:rsid w:val="00433FE7"/>
    <w:rsid w:val="00434FD5"/>
    <w:rsid w:val="00435CB5"/>
    <w:rsid w:val="0043651D"/>
    <w:rsid w:val="004375AA"/>
    <w:rsid w:val="00437A45"/>
    <w:rsid w:val="00437DBA"/>
    <w:rsid w:val="00437F66"/>
    <w:rsid w:val="004404F8"/>
    <w:rsid w:val="0044063A"/>
    <w:rsid w:val="00441278"/>
    <w:rsid w:val="0044131A"/>
    <w:rsid w:val="00441AC2"/>
    <w:rsid w:val="004425CC"/>
    <w:rsid w:val="004428A0"/>
    <w:rsid w:val="00442BE7"/>
    <w:rsid w:val="00442C79"/>
    <w:rsid w:val="004433DD"/>
    <w:rsid w:val="00443876"/>
    <w:rsid w:val="00444332"/>
    <w:rsid w:val="004449BF"/>
    <w:rsid w:val="00445734"/>
    <w:rsid w:val="0044640E"/>
    <w:rsid w:val="00446E2C"/>
    <w:rsid w:val="00447337"/>
    <w:rsid w:val="00447C50"/>
    <w:rsid w:val="00450CF7"/>
    <w:rsid w:val="00451C70"/>
    <w:rsid w:val="00452283"/>
    <w:rsid w:val="00452585"/>
    <w:rsid w:val="00452893"/>
    <w:rsid w:val="00452D54"/>
    <w:rsid w:val="00454665"/>
    <w:rsid w:val="004548D2"/>
    <w:rsid w:val="00455454"/>
    <w:rsid w:val="00455759"/>
    <w:rsid w:val="00455A8E"/>
    <w:rsid w:val="00455C55"/>
    <w:rsid w:val="004561AE"/>
    <w:rsid w:val="004609D9"/>
    <w:rsid w:val="00461152"/>
    <w:rsid w:val="0046122F"/>
    <w:rsid w:val="0046244E"/>
    <w:rsid w:val="004628AC"/>
    <w:rsid w:val="0046290D"/>
    <w:rsid w:val="0046290E"/>
    <w:rsid w:val="00463180"/>
    <w:rsid w:val="00464525"/>
    <w:rsid w:val="004653F2"/>
    <w:rsid w:val="00466785"/>
    <w:rsid w:val="004672A5"/>
    <w:rsid w:val="004674B2"/>
    <w:rsid w:val="00467A05"/>
    <w:rsid w:val="00467FA2"/>
    <w:rsid w:val="00470340"/>
    <w:rsid w:val="004717A2"/>
    <w:rsid w:val="00471946"/>
    <w:rsid w:val="004726B3"/>
    <w:rsid w:val="0047278D"/>
    <w:rsid w:val="004740CA"/>
    <w:rsid w:val="004741AA"/>
    <w:rsid w:val="00474571"/>
    <w:rsid w:val="00474D74"/>
    <w:rsid w:val="004757C6"/>
    <w:rsid w:val="00475ADD"/>
    <w:rsid w:val="0047717A"/>
    <w:rsid w:val="004773E1"/>
    <w:rsid w:val="00477796"/>
    <w:rsid w:val="004804DE"/>
    <w:rsid w:val="004805C3"/>
    <w:rsid w:val="00480620"/>
    <w:rsid w:val="00480BA0"/>
    <w:rsid w:val="00480CBD"/>
    <w:rsid w:val="00481F9B"/>
    <w:rsid w:val="00482498"/>
    <w:rsid w:val="00482A86"/>
    <w:rsid w:val="00482D1C"/>
    <w:rsid w:val="0048336E"/>
    <w:rsid w:val="00484DE2"/>
    <w:rsid w:val="004851A2"/>
    <w:rsid w:val="00485330"/>
    <w:rsid w:val="00487719"/>
    <w:rsid w:val="0049049C"/>
    <w:rsid w:val="00490A92"/>
    <w:rsid w:val="00491377"/>
    <w:rsid w:val="00491CF8"/>
    <w:rsid w:val="004924C2"/>
    <w:rsid w:val="00492CDC"/>
    <w:rsid w:val="004932E6"/>
    <w:rsid w:val="004938E4"/>
    <w:rsid w:val="00493AB0"/>
    <w:rsid w:val="00493F8F"/>
    <w:rsid w:val="00494224"/>
    <w:rsid w:val="00494612"/>
    <w:rsid w:val="004947D9"/>
    <w:rsid w:val="00494BFD"/>
    <w:rsid w:val="00494C7E"/>
    <w:rsid w:val="00494ED4"/>
    <w:rsid w:val="004962B9"/>
    <w:rsid w:val="00496C0C"/>
    <w:rsid w:val="00497417"/>
    <w:rsid w:val="00497B71"/>
    <w:rsid w:val="004A0809"/>
    <w:rsid w:val="004A13D5"/>
    <w:rsid w:val="004A13E2"/>
    <w:rsid w:val="004A1F16"/>
    <w:rsid w:val="004A2000"/>
    <w:rsid w:val="004A2883"/>
    <w:rsid w:val="004A3CEF"/>
    <w:rsid w:val="004A3E2B"/>
    <w:rsid w:val="004A3E45"/>
    <w:rsid w:val="004A449C"/>
    <w:rsid w:val="004A45D5"/>
    <w:rsid w:val="004A5DF9"/>
    <w:rsid w:val="004A5ECC"/>
    <w:rsid w:val="004A5F70"/>
    <w:rsid w:val="004A60D3"/>
    <w:rsid w:val="004A633E"/>
    <w:rsid w:val="004A6D42"/>
    <w:rsid w:val="004A6F84"/>
    <w:rsid w:val="004A7A6A"/>
    <w:rsid w:val="004B027D"/>
    <w:rsid w:val="004B057E"/>
    <w:rsid w:val="004B0CD4"/>
    <w:rsid w:val="004B17AD"/>
    <w:rsid w:val="004B21FE"/>
    <w:rsid w:val="004B38E3"/>
    <w:rsid w:val="004B3DDC"/>
    <w:rsid w:val="004B43A2"/>
    <w:rsid w:val="004B4588"/>
    <w:rsid w:val="004B45F3"/>
    <w:rsid w:val="004B4C14"/>
    <w:rsid w:val="004B5263"/>
    <w:rsid w:val="004B5423"/>
    <w:rsid w:val="004B5A85"/>
    <w:rsid w:val="004B5B14"/>
    <w:rsid w:val="004B5CC9"/>
    <w:rsid w:val="004B5D01"/>
    <w:rsid w:val="004B5E67"/>
    <w:rsid w:val="004B5EB6"/>
    <w:rsid w:val="004B6372"/>
    <w:rsid w:val="004B6E48"/>
    <w:rsid w:val="004B6EC7"/>
    <w:rsid w:val="004B72B3"/>
    <w:rsid w:val="004B77F7"/>
    <w:rsid w:val="004B7BDB"/>
    <w:rsid w:val="004B7BE2"/>
    <w:rsid w:val="004B7C45"/>
    <w:rsid w:val="004C03D8"/>
    <w:rsid w:val="004C0780"/>
    <w:rsid w:val="004C1341"/>
    <w:rsid w:val="004C18D1"/>
    <w:rsid w:val="004C1E0E"/>
    <w:rsid w:val="004C1F3D"/>
    <w:rsid w:val="004C23CD"/>
    <w:rsid w:val="004C37CC"/>
    <w:rsid w:val="004C3F21"/>
    <w:rsid w:val="004C4385"/>
    <w:rsid w:val="004C5579"/>
    <w:rsid w:val="004C5F46"/>
    <w:rsid w:val="004C68EF"/>
    <w:rsid w:val="004C7038"/>
    <w:rsid w:val="004C7241"/>
    <w:rsid w:val="004C75B6"/>
    <w:rsid w:val="004C7ADB"/>
    <w:rsid w:val="004C7E10"/>
    <w:rsid w:val="004C7F30"/>
    <w:rsid w:val="004D059F"/>
    <w:rsid w:val="004D07EA"/>
    <w:rsid w:val="004D0E08"/>
    <w:rsid w:val="004D0FFB"/>
    <w:rsid w:val="004D164F"/>
    <w:rsid w:val="004D1C40"/>
    <w:rsid w:val="004D2150"/>
    <w:rsid w:val="004D2F25"/>
    <w:rsid w:val="004D334D"/>
    <w:rsid w:val="004D3444"/>
    <w:rsid w:val="004D4BCA"/>
    <w:rsid w:val="004D5206"/>
    <w:rsid w:val="004D714C"/>
    <w:rsid w:val="004D796A"/>
    <w:rsid w:val="004D7C65"/>
    <w:rsid w:val="004D7E9D"/>
    <w:rsid w:val="004E0A53"/>
    <w:rsid w:val="004E0AC7"/>
    <w:rsid w:val="004E1018"/>
    <w:rsid w:val="004E1B4D"/>
    <w:rsid w:val="004E531B"/>
    <w:rsid w:val="004E5E06"/>
    <w:rsid w:val="004E5F25"/>
    <w:rsid w:val="004E5FF6"/>
    <w:rsid w:val="004E62F8"/>
    <w:rsid w:val="004E7232"/>
    <w:rsid w:val="004F0407"/>
    <w:rsid w:val="004F0687"/>
    <w:rsid w:val="004F0772"/>
    <w:rsid w:val="004F1384"/>
    <w:rsid w:val="004F1403"/>
    <w:rsid w:val="004F15DC"/>
    <w:rsid w:val="004F1C56"/>
    <w:rsid w:val="004F2CDB"/>
    <w:rsid w:val="004F2EF7"/>
    <w:rsid w:val="004F2F4D"/>
    <w:rsid w:val="004F3690"/>
    <w:rsid w:val="004F3B88"/>
    <w:rsid w:val="004F419C"/>
    <w:rsid w:val="004F4210"/>
    <w:rsid w:val="004F4484"/>
    <w:rsid w:val="004F45F0"/>
    <w:rsid w:val="004F512B"/>
    <w:rsid w:val="004F55A4"/>
    <w:rsid w:val="004F5B95"/>
    <w:rsid w:val="004F658A"/>
    <w:rsid w:val="004F6AA7"/>
    <w:rsid w:val="004F6BCB"/>
    <w:rsid w:val="004F7627"/>
    <w:rsid w:val="004F782D"/>
    <w:rsid w:val="005000FD"/>
    <w:rsid w:val="00500626"/>
    <w:rsid w:val="00500632"/>
    <w:rsid w:val="005007C3"/>
    <w:rsid w:val="005012D0"/>
    <w:rsid w:val="00501CD6"/>
    <w:rsid w:val="00501E01"/>
    <w:rsid w:val="00501FE3"/>
    <w:rsid w:val="005025CD"/>
    <w:rsid w:val="00502D72"/>
    <w:rsid w:val="00502F08"/>
    <w:rsid w:val="00503282"/>
    <w:rsid w:val="00503322"/>
    <w:rsid w:val="005040E7"/>
    <w:rsid w:val="00504C84"/>
    <w:rsid w:val="005076D8"/>
    <w:rsid w:val="005079C2"/>
    <w:rsid w:val="00507B76"/>
    <w:rsid w:val="0051007A"/>
    <w:rsid w:val="005100B9"/>
    <w:rsid w:val="00510245"/>
    <w:rsid w:val="00510A8A"/>
    <w:rsid w:val="00510F91"/>
    <w:rsid w:val="005112F0"/>
    <w:rsid w:val="00511401"/>
    <w:rsid w:val="00511F40"/>
    <w:rsid w:val="00512E07"/>
    <w:rsid w:val="00512F4D"/>
    <w:rsid w:val="00513A3F"/>
    <w:rsid w:val="00513CB6"/>
    <w:rsid w:val="005149EA"/>
    <w:rsid w:val="00514F6A"/>
    <w:rsid w:val="00515CF3"/>
    <w:rsid w:val="005168F4"/>
    <w:rsid w:val="00516E78"/>
    <w:rsid w:val="00516EB4"/>
    <w:rsid w:val="005200EC"/>
    <w:rsid w:val="005202B1"/>
    <w:rsid w:val="005207CD"/>
    <w:rsid w:val="005207F6"/>
    <w:rsid w:val="0052099B"/>
    <w:rsid w:val="00520C0F"/>
    <w:rsid w:val="0052190E"/>
    <w:rsid w:val="00521CA8"/>
    <w:rsid w:val="005220CB"/>
    <w:rsid w:val="0052235B"/>
    <w:rsid w:val="00522CEE"/>
    <w:rsid w:val="00523298"/>
    <w:rsid w:val="005232D8"/>
    <w:rsid w:val="00523B57"/>
    <w:rsid w:val="005242F6"/>
    <w:rsid w:val="0052437E"/>
    <w:rsid w:val="0052451E"/>
    <w:rsid w:val="00524B4E"/>
    <w:rsid w:val="00524D8A"/>
    <w:rsid w:val="00525D9D"/>
    <w:rsid w:val="0052687A"/>
    <w:rsid w:val="005307DF"/>
    <w:rsid w:val="00530C9D"/>
    <w:rsid w:val="00531AD5"/>
    <w:rsid w:val="00531CCD"/>
    <w:rsid w:val="00532992"/>
    <w:rsid w:val="005336B2"/>
    <w:rsid w:val="005336EB"/>
    <w:rsid w:val="00534B8D"/>
    <w:rsid w:val="005357B7"/>
    <w:rsid w:val="00535D41"/>
    <w:rsid w:val="005368B2"/>
    <w:rsid w:val="005371FA"/>
    <w:rsid w:val="005377BD"/>
    <w:rsid w:val="00537FC7"/>
    <w:rsid w:val="005404B0"/>
    <w:rsid w:val="0054106C"/>
    <w:rsid w:val="0054117C"/>
    <w:rsid w:val="005411B2"/>
    <w:rsid w:val="0054202D"/>
    <w:rsid w:val="005432EA"/>
    <w:rsid w:val="00544662"/>
    <w:rsid w:val="00544691"/>
    <w:rsid w:val="00545221"/>
    <w:rsid w:val="00545AE3"/>
    <w:rsid w:val="005469CB"/>
    <w:rsid w:val="005471CA"/>
    <w:rsid w:val="005475FC"/>
    <w:rsid w:val="0054770C"/>
    <w:rsid w:val="00550AEF"/>
    <w:rsid w:val="00550C14"/>
    <w:rsid w:val="00550F3C"/>
    <w:rsid w:val="005510B8"/>
    <w:rsid w:val="00551F2D"/>
    <w:rsid w:val="005523EA"/>
    <w:rsid w:val="005536D2"/>
    <w:rsid w:val="00553912"/>
    <w:rsid w:val="00553C8D"/>
    <w:rsid w:val="00554E58"/>
    <w:rsid w:val="005557D7"/>
    <w:rsid w:val="00555BBE"/>
    <w:rsid w:val="00555C76"/>
    <w:rsid w:val="00555D22"/>
    <w:rsid w:val="00556BA1"/>
    <w:rsid w:val="0055700F"/>
    <w:rsid w:val="00557452"/>
    <w:rsid w:val="005579D2"/>
    <w:rsid w:val="005601B4"/>
    <w:rsid w:val="005611FD"/>
    <w:rsid w:val="005613EE"/>
    <w:rsid w:val="0056193D"/>
    <w:rsid w:val="00561FD6"/>
    <w:rsid w:val="005628AD"/>
    <w:rsid w:val="00563558"/>
    <w:rsid w:val="00563C79"/>
    <w:rsid w:val="00564715"/>
    <w:rsid w:val="00565281"/>
    <w:rsid w:val="005655D9"/>
    <w:rsid w:val="005662E1"/>
    <w:rsid w:val="00566B1C"/>
    <w:rsid w:val="005674B5"/>
    <w:rsid w:val="00570DB9"/>
    <w:rsid w:val="00571503"/>
    <w:rsid w:val="005723B1"/>
    <w:rsid w:val="00572D38"/>
    <w:rsid w:val="00572EAD"/>
    <w:rsid w:val="00573501"/>
    <w:rsid w:val="00573DEE"/>
    <w:rsid w:val="00573E7F"/>
    <w:rsid w:val="0057449E"/>
    <w:rsid w:val="00574867"/>
    <w:rsid w:val="00574CBB"/>
    <w:rsid w:val="00574DE6"/>
    <w:rsid w:val="00574F50"/>
    <w:rsid w:val="00575322"/>
    <w:rsid w:val="00575F77"/>
    <w:rsid w:val="0057687C"/>
    <w:rsid w:val="00580651"/>
    <w:rsid w:val="005809AD"/>
    <w:rsid w:val="005811D4"/>
    <w:rsid w:val="00581A04"/>
    <w:rsid w:val="00581D5F"/>
    <w:rsid w:val="005820BD"/>
    <w:rsid w:val="00582B41"/>
    <w:rsid w:val="00582CD3"/>
    <w:rsid w:val="0058307A"/>
    <w:rsid w:val="00583506"/>
    <w:rsid w:val="00583B41"/>
    <w:rsid w:val="00583CF7"/>
    <w:rsid w:val="00584015"/>
    <w:rsid w:val="005843B8"/>
    <w:rsid w:val="00585305"/>
    <w:rsid w:val="005863DB"/>
    <w:rsid w:val="0058676D"/>
    <w:rsid w:val="00586941"/>
    <w:rsid w:val="00586A6A"/>
    <w:rsid w:val="00586EE3"/>
    <w:rsid w:val="00587D7C"/>
    <w:rsid w:val="0059014F"/>
    <w:rsid w:val="005902A6"/>
    <w:rsid w:val="005906E4"/>
    <w:rsid w:val="00591435"/>
    <w:rsid w:val="00591DCC"/>
    <w:rsid w:val="00592920"/>
    <w:rsid w:val="00592F86"/>
    <w:rsid w:val="00593797"/>
    <w:rsid w:val="00593CBE"/>
    <w:rsid w:val="005944F0"/>
    <w:rsid w:val="0059467B"/>
    <w:rsid w:val="005947E4"/>
    <w:rsid w:val="00594D0E"/>
    <w:rsid w:val="00594DC0"/>
    <w:rsid w:val="00594DC6"/>
    <w:rsid w:val="00595588"/>
    <w:rsid w:val="005960E0"/>
    <w:rsid w:val="005960EC"/>
    <w:rsid w:val="00596FC8"/>
    <w:rsid w:val="005972EC"/>
    <w:rsid w:val="00597624"/>
    <w:rsid w:val="00597E25"/>
    <w:rsid w:val="005A01BC"/>
    <w:rsid w:val="005A03A6"/>
    <w:rsid w:val="005A1482"/>
    <w:rsid w:val="005A21D2"/>
    <w:rsid w:val="005A33E2"/>
    <w:rsid w:val="005A45E8"/>
    <w:rsid w:val="005A4CBD"/>
    <w:rsid w:val="005A5290"/>
    <w:rsid w:val="005A576A"/>
    <w:rsid w:val="005A6204"/>
    <w:rsid w:val="005A6EA2"/>
    <w:rsid w:val="005A713D"/>
    <w:rsid w:val="005A72DA"/>
    <w:rsid w:val="005A7F73"/>
    <w:rsid w:val="005A7FEF"/>
    <w:rsid w:val="005B00D0"/>
    <w:rsid w:val="005B0303"/>
    <w:rsid w:val="005B0B61"/>
    <w:rsid w:val="005B111A"/>
    <w:rsid w:val="005B17C9"/>
    <w:rsid w:val="005B1E1D"/>
    <w:rsid w:val="005B1F46"/>
    <w:rsid w:val="005B1F58"/>
    <w:rsid w:val="005B23B9"/>
    <w:rsid w:val="005B28B5"/>
    <w:rsid w:val="005B2CDA"/>
    <w:rsid w:val="005B3191"/>
    <w:rsid w:val="005B32FF"/>
    <w:rsid w:val="005B3823"/>
    <w:rsid w:val="005B40F3"/>
    <w:rsid w:val="005B4493"/>
    <w:rsid w:val="005B5C5F"/>
    <w:rsid w:val="005B5E68"/>
    <w:rsid w:val="005B5F0E"/>
    <w:rsid w:val="005B649F"/>
    <w:rsid w:val="005B6610"/>
    <w:rsid w:val="005B6FEA"/>
    <w:rsid w:val="005C008E"/>
    <w:rsid w:val="005C02AB"/>
    <w:rsid w:val="005C0666"/>
    <w:rsid w:val="005C0B49"/>
    <w:rsid w:val="005C1406"/>
    <w:rsid w:val="005C2851"/>
    <w:rsid w:val="005C2BC0"/>
    <w:rsid w:val="005C345D"/>
    <w:rsid w:val="005C444A"/>
    <w:rsid w:val="005C48B3"/>
    <w:rsid w:val="005C4A03"/>
    <w:rsid w:val="005C556D"/>
    <w:rsid w:val="005C5A0B"/>
    <w:rsid w:val="005C61A1"/>
    <w:rsid w:val="005C757A"/>
    <w:rsid w:val="005C78CE"/>
    <w:rsid w:val="005C7E7B"/>
    <w:rsid w:val="005D004C"/>
    <w:rsid w:val="005D018B"/>
    <w:rsid w:val="005D0FC2"/>
    <w:rsid w:val="005D177D"/>
    <w:rsid w:val="005D1C13"/>
    <w:rsid w:val="005D2181"/>
    <w:rsid w:val="005D362B"/>
    <w:rsid w:val="005D36A0"/>
    <w:rsid w:val="005D3AB8"/>
    <w:rsid w:val="005D460A"/>
    <w:rsid w:val="005D495A"/>
    <w:rsid w:val="005D4C7C"/>
    <w:rsid w:val="005D574D"/>
    <w:rsid w:val="005D6A7A"/>
    <w:rsid w:val="005D6AAA"/>
    <w:rsid w:val="005D6B57"/>
    <w:rsid w:val="005D7207"/>
    <w:rsid w:val="005D7EFD"/>
    <w:rsid w:val="005E02EA"/>
    <w:rsid w:val="005E04C3"/>
    <w:rsid w:val="005E0809"/>
    <w:rsid w:val="005E0F45"/>
    <w:rsid w:val="005E15AF"/>
    <w:rsid w:val="005E248A"/>
    <w:rsid w:val="005E27AA"/>
    <w:rsid w:val="005E2C64"/>
    <w:rsid w:val="005E3004"/>
    <w:rsid w:val="005E4625"/>
    <w:rsid w:val="005E4919"/>
    <w:rsid w:val="005E5581"/>
    <w:rsid w:val="005E589F"/>
    <w:rsid w:val="005E59D6"/>
    <w:rsid w:val="005E6282"/>
    <w:rsid w:val="005E6ADA"/>
    <w:rsid w:val="005E7A4A"/>
    <w:rsid w:val="005E7B1A"/>
    <w:rsid w:val="005E7B4F"/>
    <w:rsid w:val="005F0288"/>
    <w:rsid w:val="005F1CB9"/>
    <w:rsid w:val="005F26BB"/>
    <w:rsid w:val="005F2DB7"/>
    <w:rsid w:val="005F2E4E"/>
    <w:rsid w:val="005F3225"/>
    <w:rsid w:val="005F3D27"/>
    <w:rsid w:val="005F4A7E"/>
    <w:rsid w:val="005F52D9"/>
    <w:rsid w:val="005F5412"/>
    <w:rsid w:val="005F62CF"/>
    <w:rsid w:val="005F7507"/>
    <w:rsid w:val="005F753D"/>
    <w:rsid w:val="005F7B44"/>
    <w:rsid w:val="005F7EAA"/>
    <w:rsid w:val="0060076E"/>
    <w:rsid w:val="006008B4"/>
    <w:rsid w:val="00600E7C"/>
    <w:rsid w:val="00602666"/>
    <w:rsid w:val="006027A9"/>
    <w:rsid w:val="0060415A"/>
    <w:rsid w:val="00605008"/>
    <w:rsid w:val="00605A9A"/>
    <w:rsid w:val="00606530"/>
    <w:rsid w:val="006067BD"/>
    <w:rsid w:val="0060732D"/>
    <w:rsid w:val="00610934"/>
    <w:rsid w:val="00610FE3"/>
    <w:rsid w:val="00611259"/>
    <w:rsid w:val="006117D3"/>
    <w:rsid w:val="00611B18"/>
    <w:rsid w:val="00612BA4"/>
    <w:rsid w:val="006131FA"/>
    <w:rsid w:val="006133AE"/>
    <w:rsid w:val="00613626"/>
    <w:rsid w:val="00613F15"/>
    <w:rsid w:val="00613F20"/>
    <w:rsid w:val="0061407C"/>
    <w:rsid w:val="00614860"/>
    <w:rsid w:val="00615699"/>
    <w:rsid w:val="0061588F"/>
    <w:rsid w:val="006158C4"/>
    <w:rsid w:val="006162E7"/>
    <w:rsid w:val="00616C96"/>
    <w:rsid w:val="006171C1"/>
    <w:rsid w:val="006175E5"/>
    <w:rsid w:val="006176E1"/>
    <w:rsid w:val="00617829"/>
    <w:rsid w:val="00620871"/>
    <w:rsid w:val="006208A0"/>
    <w:rsid w:val="00620E16"/>
    <w:rsid w:val="00620FE6"/>
    <w:rsid w:val="00621607"/>
    <w:rsid w:val="00621F7D"/>
    <w:rsid w:val="00622236"/>
    <w:rsid w:val="00622B2A"/>
    <w:rsid w:val="00623234"/>
    <w:rsid w:val="0062390D"/>
    <w:rsid w:val="006249DC"/>
    <w:rsid w:val="00624A75"/>
    <w:rsid w:val="00624FEE"/>
    <w:rsid w:val="0062515C"/>
    <w:rsid w:val="0062581F"/>
    <w:rsid w:val="0062584B"/>
    <w:rsid w:val="00625C3D"/>
    <w:rsid w:val="00625D17"/>
    <w:rsid w:val="00626257"/>
    <w:rsid w:val="006263DB"/>
    <w:rsid w:val="00626EA0"/>
    <w:rsid w:val="0062703E"/>
    <w:rsid w:val="00627191"/>
    <w:rsid w:val="00627426"/>
    <w:rsid w:val="006300D9"/>
    <w:rsid w:val="00630719"/>
    <w:rsid w:val="00631E39"/>
    <w:rsid w:val="00631E96"/>
    <w:rsid w:val="00631FE9"/>
    <w:rsid w:val="00632668"/>
    <w:rsid w:val="0063269A"/>
    <w:rsid w:val="006326AE"/>
    <w:rsid w:val="00633233"/>
    <w:rsid w:val="006339EE"/>
    <w:rsid w:val="00633D5B"/>
    <w:rsid w:val="00633DAD"/>
    <w:rsid w:val="00634119"/>
    <w:rsid w:val="0063443C"/>
    <w:rsid w:val="00634A02"/>
    <w:rsid w:val="00634F89"/>
    <w:rsid w:val="00635BD2"/>
    <w:rsid w:val="00635D09"/>
    <w:rsid w:val="00635E25"/>
    <w:rsid w:val="00636131"/>
    <w:rsid w:val="00636B36"/>
    <w:rsid w:val="006377E8"/>
    <w:rsid w:val="006404F9"/>
    <w:rsid w:val="006405A8"/>
    <w:rsid w:val="00641188"/>
    <w:rsid w:val="00641C39"/>
    <w:rsid w:val="006426F7"/>
    <w:rsid w:val="00642D39"/>
    <w:rsid w:val="00642ED3"/>
    <w:rsid w:val="0064340D"/>
    <w:rsid w:val="00643D81"/>
    <w:rsid w:val="00644012"/>
    <w:rsid w:val="006447CD"/>
    <w:rsid w:val="0064560A"/>
    <w:rsid w:val="00645C10"/>
    <w:rsid w:val="00647045"/>
    <w:rsid w:val="00647112"/>
    <w:rsid w:val="00647849"/>
    <w:rsid w:val="00647871"/>
    <w:rsid w:val="00651A09"/>
    <w:rsid w:val="00651C86"/>
    <w:rsid w:val="006523A9"/>
    <w:rsid w:val="0065241F"/>
    <w:rsid w:val="006525D9"/>
    <w:rsid w:val="0065268B"/>
    <w:rsid w:val="006526F3"/>
    <w:rsid w:val="00652832"/>
    <w:rsid w:val="00652B2C"/>
    <w:rsid w:val="006540C0"/>
    <w:rsid w:val="00654E99"/>
    <w:rsid w:val="00655CE3"/>
    <w:rsid w:val="00655E4A"/>
    <w:rsid w:val="00656356"/>
    <w:rsid w:val="00656998"/>
    <w:rsid w:val="006570BF"/>
    <w:rsid w:val="00657F13"/>
    <w:rsid w:val="0066000C"/>
    <w:rsid w:val="00660D56"/>
    <w:rsid w:val="00660ED9"/>
    <w:rsid w:val="0066125A"/>
    <w:rsid w:val="0066175F"/>
    <w:rsid w:val="00662133"/>
    <w:rsid w:val="00662E78"/>
    <w:rsid w:val="006635B7"/>
    <w:rsid w:val="006639B0"/>
    <w:rsid w:val="00663A3B"/>
    <w:rsid w:val="00664894"/>
    <w:rsid w:val="00665284"/>
    <w:rsid w:val="00665502"/>
    <w:rsid w:val="00665DFB"/>
    <w:rsid w:val="00667049"/>
    <w:rsid w:val="006671A4"/>
    <w:rsid w:val="00667CDC"/>
    <w:rsid w:val="00670117"/>
    <w:rsid w:val="006703D2"/>
    <w:rsid w:val="00670D43"/>
    <w:rsid w:val="00671D91"/>
    <w:rsid w:val="00671EAC"/>
    <w:rsid w:val="00671F68"/>
    <w:rsid w:val="0067273F"/>
    <w:rsid w:val="00673BA3"/>
    <w:rsid w:val="00673CDF"/>
    <w:rsid w:val="0067463E"/>
    <w:rsid w:val="00674707"/>
    <w:rsid w:val="0067486D"/>
    <w:rsid w:val="006748AE"/>
    <w:rsid w:val="006758C6"/>
    <w:rsid w:val="00675E56"/>
    <w:rsid w:val="00676E45"/>
    <w:rsid w:val="00676FDA"/>
    <w:rsid w:val="0067702B"/>
    <w:rsid w:val="006779A0"/>
    <w:rsid w:val="00677F87"/>
    <w:rsid w:val="006806AF"/>
    <w:rsid w:val="0068159B"/>
    <w:rsid w:val="00681621"/>
    <w:rsid w:val="00681AAD"/>
    <w:rsid w:val="00681FE2"/>
    <w:rsid w:val="0068266D"/>
    <w:rsid w:val="00682EBC"/>
    <w:rsid w:val="00683AC6"/>
    <w:rsid w:val="00684E0C"/>
    <w:rsid w:val="00685595"/>
    <w:rsid w:val="00686244"/>
    <w:rsid w:val="006867F9"/>
    <w:rsid w:val="0068738B"/>
    <w:rsid w:val="00690181"/>
    <w:rsid w:val="00690197"/>
    <w:rsid w:val="00690BFB"/>
    <w:rsid w:val="00691236"/>
    <w:rsid w:val="006919BF"/>
    <w:rsid w:val="00691C44"/>
    <w:rsid w:val="00691F0D"/>
    <w:rsid w:val="0069205B"/>
    <w:rsid w:val="00692145"/>
    <w:rsid w:val="006928DE"/>
    <w:rsid w:val="00692FCD"/>
    <w:rsid w:val="00692FE0"/>
    <w:rsid w:val="006939ED"/>
    <w:rsid w:val="00693AA8"/>
    <w:rsid w:val="006940DF"/>
    <w:rsid w:val="0069442A"/>
    <w:rsid w:val="0069456E"/>
    <w:rsid w:val="006946F7"/>
    <w:rsid w:val="00694981"/>
    <w:rsid w:val="00694BA0"/>
    <w:rsid w:val="00695175"/>
    <w:rsid w:val="00695301"/>
    <w:rsid w:val="00695940"/>
    <w:rsid w:val="006959D9"/>
    <w:rsid w:val="0069603B"/>
    <w:rsid w:val="00696716"/>
    <w:rsid w:val="00697134"/>
    <w:rsid w:val="00697551"/>
    <w:rsid w:val="006A0225"/>
    <w:rsid w:val="006A02AB"/>
    <w:rsid w:val="006A0670"/>
    <w:rsid w:val="006A0889"/>
    <w:rsid w:val="006A1095"/>
    <w:rsid w:val="006A1399"/>
    <w:rsid w:val="006A168F"/>
    <w:rsid w:val="006A1BF4"/>
    <w:rsid w:val="006A3268"/>
    <w:rsid w:val="006A36EC"/>
    <w:rsid w:val="006A3C73"/>
    <w:rsid w:val="006A3D98"/>
    <w:rsid w:val="006A412B"/>
    <w:rsid w:val="006A46AF"/>
    <w:rsid w:val="006A4C08"/>
    <w:rsid w:val="006A5BFA"/>
    <w:rsid w:val="006A5EE9"/>
    <w:rsid w:val="006A607A"/>
    <w:rsid w:val="006A68C5"/>
    <w:rsid w:val="006A73CE"/>
    <w:rsid w:val="006A79DF"/>
    <w:rsid w:val="006A7CC7"/>
    <w:rsid w:val="006A7F9C"/>
    <w:rsid w:val="006B1B24"/>
    <w:rsid w:val="006B1F0A"/>
    <w:rsid w:val="006B25BF"/>
    <w:rsid w:val="006B2AB9"/>
    <w:rsid w:val="006B2D2F"/>
    <w:rsid w:val="006B3196"/>
    <w:rsid w:val="006B32CD"/>
    <w:rsid w:val="006B364A"/>
    <w:rsid w:val="006B4C88"/>
    <w:rsid w:val="006B541B"/>
    <w:rsid w:val="006B548A"/>
    <w:rsid w:val="006B7089"/>
    <w:rsid w:val="006C055E"/>
    <w:rsid w:val="006C05AD"/>
    <w:rsid w:val="006C1168"/>
    <w:rsid w:val="006C11D8"/>
    <w:rsid w:val="006C19AC"/>
    <w:rsid w:val="006C1D2F"/>
    <w:rsid w:val="006C23BF"/>
    <w:rsid w:val="006C2911"/>
    <w:rsid w:val="006C2BBC"/>
    <w:rsid w:val="006C39A7"/>
    <w:rsid w:val="006C3F41"/>
    <w:rsid w:val="006C4D80"/>
    <w:rsid w:val="006C56B2"/>
    <w:rsid w:val="006C57E9"/>
    <w:rsid w:val="006C5BFC"/>
    <w:rsid w:val="006C5D20"/>
    <w:rsid w:val="006C7F78"/>
    <w:rsid w:val="006D0DD2"/>
    <w:rsid w:val="006D14FA"/>
    <w:rsid w:val="006D1D15"/>
    <w:rsid w:val="006D2132"/>
    <w:rsid w:val="006D23C4"/>
    <w:rsid w:val="006D27B3"/>
    <w:rsid w:val="006D2936"/>
    <w:rsid w:val="006D2A6C"/>
    <w:rsid w:val="006D2C29"/>
    <w:rsid w:val="006D37BA"/>
    <w:rsid w:val="006D3B55"/>
    <w:rsid w:val="006D4059"/>
    <w:rsid w:val="006D41DB"/>
    <w:rsid w:val="006D46C0"/>
    <w:rsid w:val="006D4ACD"/>
    <w:rsid w:val="006D4D27"/>
    <w:rsid w:val="006D54A9"/>
    <w:rsid w:val="006D5954"/>
    <w:rsid w:val="006D5FC9"/>
    <w:rsid w:val="006D61C3"/>
    <w:rsid w:val="006D6D0E"/>
    <w:rsid w:val="006D6DD3"/>
    <w:rsid w:val="006D77A8"/>
    <w:rsid w:val="006E0472"/>
    <w:rsid w:val="006E04AD"/>
    <w:rsid w:val="006E0FDA"/>
    <w:rsid w:val="006E0FF4"/>
    <w:rsid w:val="006E16A6"/>
    <w:rsid w:val="006E205F"/>
    <w:rsid w:val="006E21F0"/>
    <w:rsid w:val="006E2447"/>
    <w:rsid w:val="006E28C0"/>
    <w:rsid w:val="006E35FD"/>
    <w:rsid w:val="006E3734"/>
    <w:rsid w:val="006E3C42"/>
    <w:rsid w:val="006E3D36"/>
    <w:rsid w:val="006E50FF"/>
    <w:rsid w:val="006E53DA"/>
    <w:rsid w:val="006E6A26"/>
    <w:rsid w:val="006E6FD4"/>
    <w:rsid w:val="006E79DA"/>
    <w:rsid w:val="006F01E3"/>
    <w:rsid w:val="006F03E3"/>
    <w:rsid w:val="006F07A3"/>
    <w:rsid w:val="006F0A2D"/>
    <w:rsid w:val="006F0C2D"/>
    <w:rsid w:val="006F1FE1"/>
    <w:rsid w:val="006F3F02"/>
    <w:rsid w:val="006F53ED"/>
    <w:rsid w:val="006F5811"/>
    <w:rsid w:val="006F6205"/>
    <w:rsid w:val="006F65A8"/>
    <w:rsid w:val="006F65C6"/>
    <w:rsid w:val="006F6641"/>
    <w:rsid w:val="006F72AD"/>
    <w:rsid w:val="006F7CC8"/>
    <w:rsid w:val="00700122"/>
    <w:rsid w:val="0070083F"/>
    <w:rsid w:val="00700BB7"/>
    <w:rsid w:val="00700E4E"/>
    <w:rsid w:val="007012CB"/>
    <w:rsid w:val="0070172B"/>
    <w:rsid w:val="00701BED"/>
    <w:rsid w:val="00702181"/>
    <w:rsid w:val="00702E62"/>
    <w:rsid w:val="007041C0"/>
    <w:rsid w:val="0070460D"/>
    <w:rsid w:val="00704843"/>
    <w:rsid w:val="007049FE"/>
    <w:rsid w:val="00704E5A"/>
    <w:rsid w:val="00705853"/>
    <w:rsid w:val="00705E13"/>
    <w:rsid w:val="00705EF2"/>
    <w:rsid w:val="007060F4"/>
    <w:rsid w:val="007061DB"/>
    <w:rsid w:val="00706752"/>
    <w:rsid w:val="00706886"/>
    <w:rsid w:val="00706AE8"/>
    <w:rsid w:val="00706B95"/>
    <w:rsid w:val="00706F05"/>
    <w:rsid w:val="00707AF2"/>
    <w:rsid w:val="00707C8E"/>
    <w:rsid w:val="007100A8"/>
    <w:rsid w:val="00711374"/>
    <w:rsid w:val="007114EA"/>
    <w:rsid w:val="0071170F"/>
    <w:rsid w:val="00711BB2"/>
    <w:rsid w:val="00711FEF"/>
    <w:rsid w:val="00712DD6"/>
    <w:rsid w:val="00714167"/>
    <w:rsid w:val="00714706"/>
    <w:rsid w:val="00714EE4"/>
    <w:rsid w:val="007155C7"/>
    <w:rsid w:val="00716279"/>
    <w:rsid w:val="00716A11"/>
    <w:rsid w:val="00717332"/>
    <w:rsid w:val="00720777"/>
    <w:rsid w:val="0072149B"/>
    <w:rsid w:val="007217D3"/>
    <w:rsid w:val="00721904"/>
    <w:rsid w:val="00721FC9"/>
    <w:rsid w:val="007221AB"/>
    <w:rsid w:val="00722A17"/>
    <w:rsid w:val="00722A93"/>
    <w:rsid w:val="00722F96"/>
    <w:rsid w:val="0072362C"/>
    <w:rsid w:val="0072386A"/>
    <w:rsid w:val="00723BB0"/>
    <w:rsid w:val="007243D5"/>
    <w:rsid w:val="00725988"/>
    <w:rsid w:val="00725A8D"/>
    <w:rsid w:val="00725BE4"/>
    <w:rsid w:val="00725D3E"/>
    <w:rsid w:val="00726307"/>
    <w:rsid w:val="00726525"/>
    <w:rsid w:val="00726C1D"/>
    <w:rsid w:val="007270B4"/>
    <w:rsid w:val="007278A1"/>
    <w:rsid w:val="00727A7C"/>
    <w:rsid w:val="00731940"/>
    <w:rsid w:val="007326DA"/>
    <w:rsid w:val="007337E5"/>
    <w:rsid w:val="00734789"/>
    <w:rsid w:val="00734801"/>
    <w:rsid w:val="00734D32"/>
    <w:rsid w:val="0073537D"/>
    <w:rsid w:val="00736E6E"/>
    <w:rsid w:val="00737484"/>
    <w:rsid w:val="00737969"/>
    <w:rsid w:val="00737A50"/>
    <w:rsid w:val="00740333"/>
    <w:rsid w:val="0074034F"/>
    <w:rsid w:val="007406BC"/>
    <w:rsid w:val="00741179"/>
    <w:rsid w:val="007415E6"/>
    <w:rsid w:val="00741737"/>
    <w:rsid w:val="00742923"/>
    <w:rsid w:val="00742D0A"/>
    <w:rsid w:val="00742D66"/>
    <w:rsid w:val="00743A61"/>
    <w:rsid w:val="00744135"/>
    <w:rsid w:val="00744317"/>
    <w:rsid w:val="00745836"/>
    <w:rsid w:val="00745ABD"/>
    <w:rsid w:val="00745CB2"/>
    <w:rsid w:val="00745EEA"/>
    <w:rsid w:val="007467D3"/>
    <w:rsid w:val="00747141"/>
    <w:rsid w:val="00747272"/>
    <w:rsid w:val="0074776E"/>
    <w:rsid w:val="00747CC7"/>
    <w:rsid w:val="00747FC2"/>
    <w:rsid w:val="00750164"/>
    <w:rsid w:val="007502E3"/>
    <w:rsid w:val="00750839"/>
    <w:rsid w:val="00750E24"/>
    <w:rsid w:val="00751E9C"/>
    <w:rsid w:val="007521B8"/>
    <w:rsid w:val="0075277D"/>
    <w:rsid w:val="00752827"/>
    <w:rsid w:val="007537A0"/>
    <w:rsid w:val="00753E4F"/>
    <w:rsid w:val="007540A3"/>
    <w:rsid w:val="007540EB"/>
    <w:rsid w:val="00754211"/>
    <w:rsid w:val="00754363"/>
    <w:rsid w:val="00755348"/>
    <w:rsid w:val="007556B0"/>
    <w:rsid w:val="00755F12"/>
    <w:rsid w:val="00755FCA"/>
    <w:rsid w:val="00756406"/>
    <w:rsid w:val="00756495"/>
    <w:rsid w:val="00757521"/>
    <w:rsid w:val="00757F4C"/>
    <w:rsid w:val="00761CD8"/>
    <w:rsid w:val="00761D3D"/>
    <w:rsid w:val="00764624"/>
    <w:rsid w:val="00764A97"/>
    <w:rsid w:val="00764AA4"/>
    <w:rsid w:val="007651FC"/>
    <w:rsid w:val="007653CF"/>
    <w:rsid w:val="00765535"/>
    <w:rsid w:val="0076564E"/>
    <w:rsid w:val="00765E70"/>
    <w:rsid w:val="0076620E"/>
    <w:rsid w:val="007662CA"/>
    <w:rsid w:val="00766808"/>
    <w:rsid w:val="007673AF"/>
    <w:rsid w:val="0076752B"/>
    <w:rsid w:val="00767D93"/>
    <w:rsid w:val="00770C3E"/>
    <w:rsid w:val="00771134"/>
    <w:rsid w:val="00773343"/>
    <w:rsid w:val="007737CD"/>
    <w:rsid w:val="007740C1"/>
    <w:rsid w:val="00774A2A"/>
    <w:rsid w:val="00775691"/>
    <w:rsid w:val="00775694"/>
    <w:rsid w:val="00776936"/>
    <w:rsid w:val="00776C63"/>
    <w:rsid w:val="007771B0"/>
    <w:rsid w:val="0077768E"/>
    <w:rsid w:val="007778AD"/>
    <w:rsid w:val="00777D0A"/>
    <w:rsid w:val="00777F3C"/>
    <w:rsid w:val="00780066"/>
    <w:rsid w:val="007800F3"/>
    <w:rsid w:val="00780447"/>
    <w:rsid w:val="00780462"/>
    <w:rsid w:val="00780E7C"/>
    <w:rsid w:val="007816C0"/>
    <w:rsid w:val="00781BE8"/>
    <w:rsid w:val="00781E3E"/>
    <w:rsid w:val="00782188"/>
    <w:rsid w:val="00782BA6"/>
    <w:rsid w:val="00782CD7"/>
    <w:rsid w:val="00783214"/>
    <w:rsid w:val="00783363"/>
    <w:rsid w:val="00783B82"/>
    <w:rsid w:val="00783D90"/>
    <w:rsid w:val="00784ED3"/>
    <w:rsid w:val="00785110"/>
    <w:rsid w:val="00785C18"/>
    <w:rsid w:val="0078626D"/>
    <w:rsid w:val="0078638D"/>
    <w:rsid w:val="0078657B"/>
    <w:rsid w:val="00790A06"/>
    <w:rsid w:val="00790D26"/>
    <w:rsid w:val="00791324"/>
    <w:rsid w:val="00791748"/>
    <w:rsid w:val="00791ED6"/>
    <w:rsid w:val="007921D7"/>
    <w:rsid w:val="00792D0B"/>
    <w:rsid w:val="00792E7B"/>
    <w:rsid w:val="00793044"/>
    <w:rsid w:val="00793124"/>
    <w:rsid w:val="00793D73"/>
    <w:rsid w:val="007952EE"/>
    <w:rsid w:val="0079590E"/>
    <w:rsid w:val="007960F3"/>
    <w:rsid w:val="00796894"/>
    <w:rsid w:val="007972F4"/>
    <w:rsid w:val="00797498"/>
    <w:rsid w:val="00797C0A"/>
    <w:rsid w:val="007A0633"/>
    <w:rsid w:val="007A0988"/>
    <w:rsid w:val="007A0D41"/>
    <w:rsid w:val="007A26D4"/>
    <w:rsid w:val="007A2945"/>
    <w:rsid w:val="007A3B4D"/>
    <w:rsid w:val="007A5665"/>
    <w:rsid w:val="007A5A76"/>
    <w:rsid w:val="007A5B11"/>
    <w:rsid w:val="007A648D"/>
    <w:rsid w:val="007A64EB"/>
    <w:rsid w:val="007A672D"/>
    <w:rsid w:val="007A6750"/>
    <w:rsid w:val="007A6F19"/>
    <w:rsid w:val="007A7668"/>
    <w:rsid w:val="007A76C7"/>
    <w:rsid w:val="007A7A65"/>
    <w:rsid w:val="007A7BE1"/>
    <w:rsid w:val="007B010D"/>
    <w:rsid w:val="007B0547"/>
    <w:rsid w:val="007B0B9C"/>
    <w:rsid w:val="007B0C9D"/>
    <w:rsid w:val="007B0EFF"/>
    <w:rsid w:val="007B20F9"/>
    <w:rsid w:val="007B2CFF"/>
    <w:rsid w:val="007B2D2C"/>
    <w:rsid w:val="007B323E"/>
    <w:rsid w:val="007B40DA"/>
    <w:rsid w:val="007B430D"/>
    <w:rsid w:val="007B464F"/>
    <w:rsid w:val="007B561C"/>
    <w:rsid w:val="007B5BCA"/>
    <w:rsid w:val="007B6003"/>
    <w:rsid w:val="007B662C"/>
    <w:rsid w:val="007B6C1E"/>
    <w:rsid w:val="007B6EAB"/>
    <w:rsid w:val="007B6F36"/>
    <w:rsid w:val="007B75C2"/>
    <w:rsid w:val="007C0F2F"/>
    <w:rsid w:val="007C120B"/>
    <w:rsid w:val="007C1FBD"/>
    <w:rsid w:val="007C2065"/>
    <w:rsid w:val="007C2574"/>
    <w:rsid w:val="007C28B8"/>
    <w:rsid w:val="007C2C62"/>
    <w:rsid w:val="007C4AC7"/>
    <w:rsid w:val="007C4AD1"/>
    <w:rsid w:val="007C4CE9"/>
    <w:rsid w:val="007C55C6"/>
    <w:rsid w:val="007C5D38"/>
    <w:rsid w:val="007C5F31"/>
    <w:rsid w:val="007C5F70"/>
    <w:rsid w:val="007C61C3"/>
    <w:rsid w:val="007C61D5"/>
    <w:rsid w:val="007C65F4"/>
    <w:rsid w:val="007C6656"/>
    <w:rsid w:val="007C6EE8"/>
    <w:rsid w:val="007D02BB"/>
    <w:rsid w:val="007D047C"/>
    <w:rsid w:val="007D052C"/>
    <w:rsid w:val="007D0AFD"/>
    <w:rsid w:val="007D0B5B"/>
    <w:rsid w:val="007D1F19"/>
    <w:rsid w:val="007D1FD3"/>
    <w:rsid w:val="007D2159"/>
    <w:rsid w:val="007D28AD"/>
    <w:rsid w:val="007D411C"/>
    <w:rsid w:val="007D5465"/>
    <w:rsid w:val="007D5925"/>
    <w:rsid w:val="007D7FB9"/>
    <w:rsid w:val="007E0781"/>
    <w:rsid w:val="007E14B1"/>
    <w:rsid w:val="007E1DE5"/>
    <w:rsid w:val="007E1EFD"/>
    <w:rsid w:val="007E2F0B"/>
    <w:rsid w:val="007E396A"/>
    <w:rsid w:val="007E3FFD"/>
    <w:rsid w:val="007E4277"/>
    <w:rsid w:val="007E448D"/>
    <w:rsid w:val="007E4AF8"/>
    <w:rsid w:val="007E53A5"/>
    <w:rsid w:val="007E554B"/>
    <w:rsid w:val="007E6045"/>
    <w:rsid w:val="007E6B3B"/>
    <w:rsid w:val="007E6FC6"/>
    <w:rsid w:val="007E72F1"/>
    <w:rsid w:val="007E7EC6"/>
    <w:rsid w:val="007E7FFD"/>
    <w:rsid w:val="007F1175"/>
    <w:rsid w:val="007F152F"/>
    <w:rsid w:val="007F202F"/>
    <w:rsid w:val="007F26FF"/>
    <w:rsid w:val="007F2816"/>
    <w:rsid w:val="007F2840"/>
    <w:rsid w:val="007F35CF"/>
    <w:rsid w:val="007F3B98"/>
    <w:rsid w:val="007F4355"/>
    <w:rsid w:val="007F440A"/>
    <w:rsid w:val="007F48E3"/>
    <w:rsid w:val="007F4C84"/>
    <w:rsid w:val="007F4E43"/>
    <w:rsid w:val="007F57AE"/>
    <w:rsid w:val="007F5833"/>
    <w:rsid w:val="007F5A77"/>
    <w:rsid w:val="007F6E1D"/>
    <w:rsid w:val="007F71DA"/>
    <w:rsid w:val="007F7673"/>
    <w:rsid w:val="007F7C7E"/>
    <w:rsid w:val="008005B9"/>
    <w:rsid w:val="00801371"/>
    <w:rsid w:val="008016F5"/>
    <w:rsid w:val="00801745"/>
    <w:rsid w:val="00801C2F"/>
    <w:rsid w:val="008025DF"/>
    <w:rsid w:val="008027CF"/>
    <w:rsid w:val="00802882"/>
    <w:rsid w:val="00803CA3"/>
    <w:rsid w:val="00803D2D"/>
    <w:rsid w:val="0080402E"/>
    <w:rsid w:val="0080528B"/>
    <w:rsid w:val="00805C65"/>
    <w:rsid w:val="0080675C"/>
    <w:rsid w:val="008076AA"/>
    <w:rsid w:val="00807A91"/>
    <w:rsid w:val="00807FAE"/>
    <w:rsid w:val="00810240"/>
    <w:rsid w:val="00810704"/>
    <w:rsid w:val="00810705"/>
    <w:rsid w:val="00811756"/>
    <w:rsid w:val="008127A7"/>
    <w:rsid w:val="00812AF3"/>
    <w:rsid w:val="00814B16"/>
    <w:rsid w:val="00814CB7"/>
    <w:rsid w:val="0081525A"/>
    <w:rsid w:val="008159D8"/>
    <w:rsid w:val="00815EB8"/>
    <w:rsid w:val="00816028"/>
    <w:rsid w:val="0081629E"/>
    <w:rsid w:val="008171EE"/>
    <w:rsid w:val="008201D2"/>
    <w:rsid w:val="0082141D"/>
    <w:rsid w:val="00821711"/>
    <w:rsid w:val="008226B3"/>
    <w:rsid w:val="008230F2"/>
    <w:rsid w:val="008232B1"/>
    <w:rsid w:val="008243F2"/>
    <w:rsid w:val="00824D26"/>
    <w:rsid w:val="0082584E"/>
    <w:rsid w:val="00825C5E"/>
    <w:rsid w:val="00826685"/>
    <w:rsid w:val="00826BDB"/>
    <w:rsid w:val="00827356"/>
    <w:rsid w:val="00827612"/>
    <w:rsid w:val="00827B4F"/>
    <w:rsid w:val="00830117"/>
    <w:rsid w:val="008302B0"/>
    <w:rsid w:val="0083063B"/>
    <w:rsid w:val="00830703"/>
    <w:rsid w:val="008313B0"/>
    <w:rsid w:val="00831686"/>
    <w:rsid w:val="008316E0"/>
    <w:rsid w:val="00831F3E"/>
    <w:rsid w:val="0083221E"/>
    <w:rsid w:val="00832D73"/>
    <w:rsid w:val="00833821"/>
    <w:rsid w:val="0083399F"/>
    <w:rsid w:val="00833AF7"/>
    <w:rsid w:val="0083493E"/>
    <w:rsid w:val="00834E91"/>
    <w:rsid w:val="008353CA"/>
    <w:rsid w:val="00836337"/>
    <w:rsid w:val="00836B05"/>
    <w:rsid w:val="00837AB9"/>
    <w:rsid w:val="00840D42"/>
    <w:rsid w:val="008411A9"/>
    <w:rsid w:val="00841AFF"/>
    <w:rsid w:val="0084219E"/>
    <w:rsid w:val="00842411"/>
    <w:rsid w:val="0084290E"/>
    <w:rsid w:val="00842BEE"/>
    <w:rsid w:val="00843DBA"/>
    <w:rsid w:val="00843E10"/>
    <w:rsid w:val="008441C0"/>
    <w:rsid w:val="0084435F"/>
    <w:rsid w:val="008443EF"/>
    <w:rsid w:val="00844C04"/>
    <w:rsid w:val="00844DBD"/>
    <w:rsid w:val="008450F3"/>
    <w:rsid w:val="00845BED"/>
    <w:rsid w:val="00846448"/>
    <w:rsid w:val="00846989"/>
    <w:rsid w:val="00847E9E"/>
    <w:rsid w:val="00847EB7"/>
    <w:rsid w:val="00847EBC"/>
    <w:rsid w:val="0085019A"/>
    <w:rsid w:val="0085031F"/>
    <w:rsid w:val="00850B73"/>
    <w:rsid w:val="0085162D"/>
    <w:rsid w:val="00852A81"/>
    <w:rsid w:val="00853578"/>
    <w:rsid w:val="008540DB"/>
    <w:rsid w:val="008541B4"/>
    <w:rsid w:val="00856A07"/>
    <w:rsid w:val="00856CCD"/>
    <w:rsid w:val="00856E03"/>
    <w:rsid w:val="00860056"/>
    <w:rsid w:val="0086087E"/>
    <w:rsid w:val="00860F1B"/>
    <w:rsid w:val="008615FF"/>
    <w:rsid w:val="00861674"/>
    <w:rsid w:val="00862ACC"/>
    <w:rsid w:val="008635DC"/>
    <w:rsid w:val="008635E6"/>
    <w:rsid w:val="0086406E"/>
    <w:rsid w:val="00864482"/>
    <w:rsid w:val="00865FFF"/>
    <w:rsid w:val="0086696D"/>
    <w:rsid w:val="00866E70"/>
    <w:rsid w:val="00867DB4"/>
    <w:rsid w:val="00870021"/>
    <w:rsid w:val="0087012C"/>
    <w:rsid w:val="00870179"/>
    <w:rsid w:val="008704D1"/>
    <w:rsid w:val="008709C9"/>
    <w:rsid w:val="00870C20"/>
    <w:rsid w:val="00872197"/>
    <w:rsid w:val="008725E5"/>
    <w:rsid w:val="00872A62"/>
    <w:rsid w:val="00872D94"/>
    <w:rsid w:val="0087417D"/>
    <w:rsid w:val="00874B87"/>
    <w:rsid w:val="00875091"/>
    <w:rsid w:val="0087510F"/>
    <w:rsid w:val="008753F3"/>
    <w:rsid w:val="00875640"/>
    <w:rsid w:val="00875B22"/>
    <w:rsid w:val="00875D12"/>
    <w:rsid w:val="00875E0D"/>
    <w:rsid w:val="00875FBC"/>
    <w:rsid w:val="00876241"/>
    <w:rsid w:val="0087624F"/>
    <w:rsid w:val="00876359"/>
    <w:rsid w:val="00876733"/>
    <w:rsid w:val="00876804"/>
    <w:rsid w:val="00876B26"/>
    <w:rsid w:val="0087730D"/>
    <w:rsid w:val="0087733A"/>
    <w:rsid w:val="00880000"/>
    <w:rsid w:val="00880B2C"/>
    <w:rsid w:val="00880C22"/>
    <w:rsid w:val="00881938"/>
    <w:rsid w:val="0088251E"/>
    <w:rsid w:val="008830C6"/>
    <w:rsid w:val="0088319E"/>
    <w:rsid w:val="008833E8"/>
    <w:rsid w:val="0088370F"/>
    <w:rsid w:val="00883CDC"/>
    <w:rsid w:val="00884203"/>
    <w:rsid w:val="008851E7"/>
    <w:rsid w:val="00885620"/>
    <w:rsid w:val="008858BF"/>
    <w:rsid w:val="00885AC6"/>
    <w:rsid w:val="00886104"/>
    <w:rsid w:val="00886E31"/>
    <w:rsid w:val="008871B7"/>
    <w:rsid w:val="00887D1B"/>
    <w:rsid w:val="00887E9D"/>
    <w:rsid w:val="0089051D"/>
    <w:rsid w:val="0089099F"/>
    <w:rsid w:val="00890D16"/>
    <w:rsid w:val="00890D86"/>
    <w:rsid w:val="00891245"/>
    <w:rsid w:val="008922E9"/>
    <w:rsid w:val="00892321"/>
    <w:rsid w:val="008924FE"/>
    <w:rsid w:val="008935F7"/>
    <w:rsid w:val="00893B84"/>
    <w:rsid w:val="00893F84"/>
    <w:rsid w:val="0089454D"/>
    <w:rsid w:val="008949CA"/>
    <w:rsid w:val="008949F5"/>
    <w:rsid w:val="00894CA7"/>
    <w:rsid w:val="00895334"/>
    <w:rsid w:val="00895370"/>
    <w:rsid w:val="008959EE"/>
    <w:rsid w:val="008961FA"/>
    <w:rsid w:val="00896B26"/>
    <w:rsid w:val="008979B0"/>
    <w:rsid w:val="008A03B6"/>
    <w:rsid w:val="008A056F"/>
    <w:rsid w:val="008A1095"/>
    <w:rsid w:val="008A1896"/>
    <w:rsid w:val="008A1F01"/>
    <w:rsid w:val="008A2202"/>
    <w:rsid w:val="008A2675"/>
    <w:rsid w:val="008A3336"/>
    <w:rsid w:val="008A33FC"/>
    <w:rsid w:val="008A38FF"/>
    <w:rsid w:val="008A3C79"/>
    <w:rsid w:val="008A3CC3"/>
    <w:rsid w:val="008A43B4"/>
    <w:rsid w:val="008A43CF"/>
    <w:rsid w:val="008A4EAB"/>
    <w:rsid w:val="008A572B"/>
    <w:rsid w:val="008A717D"/>
    <w:rsid w:val="008A727E"/>
    <w:rsid w:val="008A73C2"/>
    <w:rsid w:val="008A7AA1"/>
    <w:rsid w:val="008B040D"/>
    <w:rsid w:val="008B06E4"/>
    <w:rsid w:val="008B0FF2"/>
    <w:rsid w:val="008B11CD"/>
    <w:rsid w:val="008B14F8"/>
    <w:rsid w:val="008B1AAA"/>
    <w:rsid w:val="008B1BA2"/>
    <w:rsid w:val="008B1C2B"/>
    <w:rsid w:val="008B234A"/>
    <w:rsid w:val="008B24E4"/>
    <w:rsid w:val="008B26CB"/>
    <w:rsid w:val="008B2A1E"/>
    <w:rsid w:val="008B2DCA"/>
    <w:rsid w:val="008B3AE6"/>
    <w:rsid w:val="008B3E24"/>
    <w:rsid w:val="008B431B"/>
    <w:rsid w:val="008B50A1"/>
    <w:rsid w:val="008B5B61"/>
    <w:rsid w:val="008B6FA1"/>
    <w:rsid w:val="008B70BB"/>
    <w:rsid w:val="008B7BB3"/>
    <w:rsid w:val="008C0A01"/>
    <w:rsid w:val="008C0BDF"/>
    <w:rsid w:val="008C0D49"/>
    <w:rsid w:val="008C1260"/>
    <w:rsid w:val="008C174B"/>
    <w:rsid w:val="008C1936"/>
    <w:rsid w:val="008C1F82"/>
    <w:rsid w:val="008C2020"/>
    <w:rsid w:val="008C241F"/>
    <w:rsid w:val="008C30CE"/>
    <w:rsid w:val="008C3116"/>
    <w:rsid w:val="008C3EFA"/>
    <w:rsid w:val="008C40CB"/>
    <w:rsid w:val="008C40FC"/>
    <w:rsid w:val="008C54B5"/>
    <w:rsid w:val="008C5557"/>
    <w:rsid w:val="008C58F4"/>
    <w:rsid w:val="008C635F"/>
    <w:rsid w:val="008C6489"/>
    <w:rsid w:val="008C67F2"/>
    <w:rsid w:val="008C6897"/>
    <w:rsid w:val="008C6CBB"/>
    <w:rsid w:val="008C750F"/>
    <w:rsid w:val="008C79EE"/>
    <w:rsid w:val="008D0787"/>
    <w:rsid w:val="008D11D3"/>
    <w:rsid w:val="008D23A7"/>
    <w:rsid w:val="008D2418"/>
    <w:rsid w:val="008D283E"/>
    <w:rsid w:val="008D292D"/>
    <w:rsid w:val="008D3990"/>
    <w:rsid w:val="008D42BB"/>
    <w:rsid w:val="008D4B23"/>
    <w:rsid w:val="008D5E4C"/>
    <w:rsid w:val="008D61DF"/>
    <w:rsid w:val="008D6714"/>
    <w:rsid w:val="008D6A81"/>
    <w:rsid w:val="008D7950"/>
    <w:rsid w:val="008D7A39"/>
    <w:rsid w:val="008E02BA"/>
    <w:rsid w:val="008E20A9"/>
    <w:rsid w:val="008E2469"/>
    <w:rsid w:val="008E30F8"/>
    <w:rsid w:val="008E39CA"/>
    <w:rsid w:val="008E3E7C"/>
    <w:rsid w:val="008E4212"/>
    <w:rsid w:val="008E547E"/>
    <w:rsid w:val="008E5E68"/>
    <w:rsid w:val="008E6F36"/>
    <w:rsid w:val="008E73D0"/>
    <w:rsid w:val="008E79AB"/>
    <w:rsid w:val="008E7AD4"/>
    <w:rsid w:val="008F00F3"/>
    <w:rsid w:val="008F01F8"/>
    <w:rsid w:val="008F0598"/>
    <w:rsid w:val="008F0C0D"/>
    <w:rsid w:val="008F0C2B"/>
    <w:rsid w:val="008F0C6E"/>
    <w:rsid w:val="008F12B3"/>
    <w:rsid w:val="008F1C12"/>
    <w:rsid w:val="008F22CF"/>
    <w:rsid w:val="008F2EAE"/>
    <w:rsid w:val="008F4074"/>
    <w:rsid w:val="008F4AB8"/>
    <w:rsid w:val="008F51BA"/>
    <w:rsid w:val="008F68F0"/>
    <w:rsid w:val="008F6B82"/>
    <w:rsid w:val="00901A15"/>
    <w:rsid w:val="009022AA"/>
    <w:rsid w:val="00902CBA"/>
    <w:rsid w:val="00902E40"/>
    <w:rsid w:val="009038F3"/>
    <w:rsid w:val="00903C78"/>
    <w:rsid w:val="00903FA3"/>
    <w:rsid w:val="00904230"/>
    <w:rsid w:val="00904361"/>
    <w:rsid w:val="009046B4"/>
    <w:rsid w:val="00904A00"/>
    <w:rsid w:val="00904CA3"/>
    <w:rsid w:val="00904DCF"/>
    <w:rsid w:val="00904E66"/>
    <w:rsid w:val="00904FEF"/>
    <w:rsid w:val="009060E0"/>
    <w:rsid w:val="009064F5"/>
    <w:rsid w:val="009065A9"/>
    <w:rsid w:val="00906710"/>
    <w:rsid w:val="00907809"/>
    <w:rsid w:val="00907E71"/>
    <w:rsid w:val="00910418"/>
    <w:rsid w:val="00910429"/>
    <w:rsid w:val="00911096"/>
    <w:rsid w:val="009113E1"/>
    <w:rsid w:val="009114C3"/>
    <w:rsid w:val="009126F2"/>
    <w:rsid w:val="00912B1A"/>
    <w:rsid w:val="00912C8B"/>
    <w:rsid w:val="009143FC"/>
    <w:rsid w:val="00914666"/>
    <w:rsid w:val="009157A8"/>
    <w:rsid w:val="00916810"/>
    <w:rsid w:val="00916B77"/>
    <w:rsid w:val="00917512"/>
    <w:rsid w:val="00917922"/>
    <w:rsid w:val="00917F13"/>
    <w:rsid w:val="00920664"/>
    <w:rsid w:val="00920A27"/>
    <w:rsid w:val="00920ADF"/>
    <w:rsid w:val="00920E7C"/>
    <w:rsid w:val="00920FD1"/>
    <w:rsid w:val="00921A46"/>
    <w:rsid w:val="00921B01"/>
    <w:rsid w:val="00921D82"/>
    <w:rsid w:val="00922803"/>
    <w:rsid w:val="00922B9B"/>
    <w:rsid w:val="0092329C"/>
    <w:rsid w:val="0092415D"/>
    <w:rsid w:val="0092599F"/>
    <w:rsid w:val="00926077"/>
    <w:rsid w:val="00926D56"/>
    <w:rsid w:val="00926E52"/>
    <w:rsid w:val="0092792C"/>
    <w:rsid w:val="00927A76"/>
    <w:rsid w:val="00927E65"/>
    <w:rsid w:val="00930112"/>
    <w:rsid w:val="009305BA"/>
    <w:rsid w:val="009308F5"/>
    <w:rsid w:val="0093093C"/>
    <w:rsid w:val="00930BD0"/>
    <w:rsid w:val="009314D9"/>
    <w:rsid w:val="00931DFA"/>
    <w:rsid w:val="00932214"/>
    <w:rsid w:val="00932512"/>
    <w:rsid w:val="009327E3"/>
    <w:rsid w:val="00932E0E"/>
    <w:rsid w:val="009338AD"/>
    <w:rsid w:val="009340D1"/>
    <w:rsid w:val="0093451D"/>
    <w:rsid w:val="00934617"/>
    <w:rsid w:val="00934AC6"/>
    <w:rsid w:val="009352F5"/>
    <w:rsid w:val="0093547E"/>
    <w:rsid w:val="0093564F"/>
    <w:rsid w:val="00935FE7"/>
    <w:rsid w:val="00936165"/>
    <w:rsid w:val="00936723"/>
    <w:rsid w:val="00936A5F"/>
    <w:rsid w:val="00936FA6"/>
    <w:rsid w:val="0093794C"/>
    <w:rsid w:val="00937C32"/>
    <w:rsid w:val="009407FA"/>
    <w:rsid w:val="009424E3"/>
    <w:rsid w:val="00942805"/>
    <w:rsid w:val="009431D4"/>
    <w:rsid w:val="009443E4"/>
    <w:rsid w:val="00944811"/>
    <w:rsid w:val="009448BC"/>
    <w:rsid w:val="009450E0"/>
    <w:rsid w:val="00946404"/>
    <w:rsid w:val="00946DC9"/>
    <w:rsid w:val="00947837"/>
    <w:rsid w:val="00947A69"/>
    <w:rsid w:val="00950064"/>
    <w:rsid w:val="00950437"/>
    <w:rsid w:val="009508F1"/>
    <w:rsid w:val="0095128D"/>
    <w:rsid w:val="009519CC"/>
    <w:rsid w:val="00951B99"/>
    <w:rsid w:val="0095270F"/>
    <w:rsid w:val="00952959"/>
    <w:rsid w:val="00953B86"/>
    <w:rsid w:val="00953C96"/>
    <w:rsid w:val="00953D41"/>
    <w:rsid w:val="0095431D"/>
    <w:rsid w:val="00954428"/>
    <w:rsid w:val="009545C3"/>
    <w:rsid w:val="0095491E"/>
    <w:rsid w:val="0095500D"/>
    <w:rsid w:val="00955479"/>
    <w:rsid w:val="00955BCB"/>
    <w:rsid w:val="00955E61"/>
    <w:rsid w:val="00956723"/>
    <w:rsid w:val="00957571"/>
    <w:rsid w:val="00957AD4"/>
    <w:rsid w:val="00957C46"/>
    <w:rsid w:val="009610AE"/>
    <w:rsid w:val="0096151F"/>
    <w:rsid w:val="00961A5A"/>
    <w:rsid w:val="00961F74"/>
    <w:rsid w:val="00962461"/>
    <w:rsid w:val="00962877"/>
    <w:rsid w:val="009629EA"/>
    <w:rsid w:val="00962B79"/>
    <w:rsid w:val="009631E6"/>
    <w:rsid w:val="009639D7"/>
    <w:rsid w:val="00963FEF"/>
    <w:rsid w:val="00964A7B"/>
    <w:rsid w:val="00964B20"/>
    <w:rsid w:val="00964C78"/>
    <w:rsid w:val="00964CD9"/>
    <w:rsid w:val="009651E2"/>
    <w:rsid w:val="00965942"/>
    <w:rsid w:val="00965A1D"/>
    <w:rsid w:val="00966817"/>
    <w:rsid w:val="00967607"/>
    <w:rsid w:val="00967E34"/>
    <w:rsid w:val="00967FB3"/>
    <w:rsid w:val="00970D8B"/>
    <w:rsid w:val="0097113C"/>
    <w:rsid w:val="00971DC6"/>
    <w:rsid w:val="00971F64"/>
    <w:rsid w:val="00972647"/>
    <w:rsid w:val="00972A17"/>
    <w:rsid w:val="00972CE5"/>
    <w:rsid w:val="009731D4"/>
    <w:rsid w:val="00973422"/>
    <w:rsid w:val="009738BA"/>
    <w:rsid w:val="00973C27"/>
    <w:rsid w:val="00973EBF"/>
    <w:rsid w:val="009742B1"/>
    <w:rsid w:val="00974935"/>
    <w:rsid w:val="00974A67"/>
    <w:rsid w:val="00974E08"/>
    <w:rsid w:val="00974E2A"/>
    <w:rsid w:val="00974E3F"/>
    <w:rsid w:val="009751AB"/>
    <w:rsid w:val="00975520"/>
    <w:rsid w:val="0097632D"/>
    <w:rsid w:val="009767ED"/>
    <w:rsid w:val="00976CA5"/>
    <w:rsid w:val="009770BF"/>
    <w:rsid w:val="009772AD"/>
    <w:rsid w:val="009774A6"/>
    <w:rsid w:val="00980180"/>
    <w:rsid w:val="0098037D"/>
    <w:rsid w:val="009809F1"/>
    <w:rsid w:val="00981880"/>
    <w:rsid w:val="00981E20"/>
    <w:rsid w:val="009827A1"/>
    <w:rsid w:val="00983270"/>
    <w:rsid w:val="00984C2F"/>
    <w:rsid w:val="00985419"/>
    <w:rsid w:val="0098562A"/>
    <w:rsid w:val="00985F4B"/>
    <w:rsid w:val="0098685C"/>
    <w:rsid w:val="00986DE6"/>
    <w:rsid w:val="0098712E"/>
    <w:rsid w:val="0098765A"/>
    <w:rsid w:val="00987841"/>
    <w:rsid w:val="00987BDF"/>
    <w:rsid w:val="00987FEE"/>
    <w:rsid w:val="00987FF5"/>
    <w:rsid w:val="0099068F"/>
    <w:rsid w:val="00991481"/>
    <w:rsid w:val="00992623"/>
    <w:rsid w:val="0099271A"/>
    <w:rsid w:val="00993031"/>
    <w:rsid w:val="009931D5"/>
    <w:rsid w:val="0099327D"/>
    <w:rsid w:val="0099334B"/>
    <w:rsid w:val="00994310"/>
    <w:rsid w:val="009943B4"/>
    <w:rsid w:val="00995124"/>
    <w:rsid w:val="009951F2"/>
    <w:rsid w:val="009964D0"/>
    <w:rsid w:val="009966CA"/>
    <w:rsid w:val="00996969"/>
    <w:rsid w:val="009969CE"/>
    <w:rsid w:val="00996B82"/>
    <w:rsid w:val="00997041"/>
    <w:rsid w:val="009971A4"/>
    <w:rsid w:val="009971BA"/>
    <w:rsid w:val="0099736C"/>
    <w:rsid w:val="00997956"/>
    <w:rsid w:val="00997FC9"/>
    <w:rsid w:val="009A0375"/>
    <w:rsid w:val="009A12A3"/>
    <w:rsid w:val="009A2598"/>
    <w:rsid w:val="009A2B83"/>
    <w:rsid w:val="009A2C78"/>
    <w:rsid w:val="009A2DF4"/>
    <w:rsid w:val="009A2F82"/>
    <w:rsid w:val="009A38C4"/>
    <w:rsid w:val="009A38F6"/>
    <w:rsid w:val="009A4797"/>
    <w:rsid w:val="009A5534"/>
    <w:rsid w:val="009A5581"/>
    <w:rsid w:val="009A566D"/>
    <w:rsid w:val="009A60E4"/>
    <w:rsid w:val="009A611B"/>
    <w:rsid w:val="009A663D"/>
    <w:rsid w:val="009A68C8"/>
    <w:rsid w:val="009A6BBF"/>
    <w:rsid w:val="009A6DB2"/>
    <w:rsid w:val="009B087C"/>
    <w:rsid w:val="009B1345"/>
    <w:rsid w:val="009B20F8"/>
    <w:rsid w:val="009B2135"/>
    <w:rsid w:val="009B228C"/>
    <w:rsid w:val="009B2538"/>
    <w:rsid w:val="009B2A56"/>
    <w:rsid w:val="009B34BA"/>
    <w:rsid w:val="009B3708"/>
    <w:rsid w:val="009B3A6E"/>
    <w:rsid w:val="009B3D2F"/>
    <w:rsid w:val="009B4164"/>
    <w:rsid w:val="009B6099"/>
    <w:rsid w:val="009B61C6"/>
    <w:rsid w:val="009B7329"/>
    <w:rsid w:val="009C0F4F"/>
    <w:rsid w:val="009C16F5"/>
    <w:rsid w:val="009C1DD0"/>
    <w:rsid w:val="009C2C86"/>
    <w:rsid w:val="009C2D80"/>
    <w:rsid w:val="009C2E31"/>
    <w:rsid w:val="009C2F37"/>
    <w:rsid w:val="009C46CB"/>
    <w:rsid w:val="009C5126"/>
    <w:rsid w:val="009C51AA"/>
    <w:rsid w:val="009C53F0"/>
    <w:rsid w:val="009C5E59"/>
    <w:rsid w:val="009C5EB7"/>
    <w:rsid w:val="009C684B"/>
    <w:rsid w:val="009C7636"/>
    <w:rsid w:val="009C76E3"/>
    <w:rsid w:val="009D04E2"/>
    <w:rsid w:val="009D18AB"/>
    <w:rsid w:val="009D2271"/>
    <w:rsid w:val="009D2608"/>
    <w:rsid w:val="009D298C"/>
    <w:rsid w:val="009D2E1B"/>
    <w:rsid w:val="009D300E"/>
    <w:rsid w:val="009D3408"/>
    <w:rsid w:val="009D3E38"/>
    <w:rsid w:val="009D47B4"/>
    <w:rsid w:val="009D48F8"/>
    <w:rsid w:val="009D4E40"/>
    <w:rsid w:val="009D5417"/>
    <w:rsid w:val="009D5622"/>
    <w:rsid w:val="009D571C"/>
    <w:rsid w:val="009D5EC9"/>
    <w:rsid w:val="009D75C2"/>
    <w:rsid w:val="009D775C"/>
    <w:rsid w:val="009D7AC3"/>
    <w:rsid w:val="009D7E3D"/>
    <w:rsid w:val="009D7F26"/>
    <w:rsid w:val="009E0641"/>
    <w:rsid w:val="009E08E1"/>
    <w:rsid w:val="009E09AF"/>
    <w:rsid w:val="009E0B15"/>
    <w:rsid w:val="009E1348"/>
    <w:rsid w:val="009E1B5F"/>
    <w:rsid w:val="009E1D3F"/>
    <w:rsid w:val="009E22EB"/>
    <w:rsid w:val="009E2F41"/>
    <w:rsid w:val="009E3524"/>
    <w:rsid w:val="009E38E5"/>
    <w:rsid w:val="009E39D9"/>
    <w:rsid w:val="009E3A21"/>
    <w:rsid w:val="009E3A64"/>
    <w:rsid w:val="009E410E"/>
    <w:rsid w:val="009E5272"/>
    <w:rsid w:val="009E589C"/>
    <w:rsid w:val="009E5A47"/>
    <w:rsid w:val="009E5F10"/>
    <w:rsid w:val="009E6821"/>
    <w:rsid w:val="009F042A"/>
    <w:rsid w:val="009F1064"/>
    <w:rsid w:val="009F1239"/>
    <w:rsid w:val="009F1856"/>
    <w:rsid w:val="009F1E01"/>
    <w:rsid w:val="009F2CFF"/>
    <w:rsid w:val="009F3131"/>
    <w:rsid w:val="009F31A2"/>
    <w:rsid w:val="009F38D3"/>
    <w:rsid w:val="009F3BFD"/>
    <w:rsid w:val="009F444A"/>
    <w:rsid w:val="009F516C"/>
    <w:rsid w:val="009F5BAF"/>
    <w:rsid w:val="009F671B"/>
    <w:rsid w:val="009F6E69"/>
    <w:rsid w:val="009F7240"/>
    <w:rsid w:val="009F76A0"/>
    <w:rsid w:val="00A0039F"/>
    <w:rsid w:val="00A0083F"/>
    <w:rsid w:val="00A00CA0"/>
    <w:rsid w:val="00A00D1C"/>
    <w:rsid w:val="00A0106B"/>
    <w:rsid w:val="00A0124F"/>
    <w:rsid w:val="00A02044"/>
    <w:rsid w:val="00A02475"/>
    <w:rsid w:val="00A026FD"/>
    <w:rsid w:val="00A037E3"/>
    <w:rsid w:val="00A03B4E"/>
    <w:rsid w:val="00A03C7B"/>
    <w:rsid w:val="00A03DE8"/>
    <w:rsid w:val="00A04330"/>
    <w:rsid w:val="00A04331"/>
    <w:rsid w:val="00A052A6"/>
    <w:rsid w:val="00A054ED"/>
    <w:rsid w:val="00A06590"/>
    <w:rsid w:val="00A1004D"/>
    <w:rsid w:val="00A10500"/>
    <w:rsid w:val="00A10815"/>
    <w:rsid w:val="00A10B53"/>
    <w:rsid w:val="00A11613"/>
    <w:rsid w:val="00A118E7"/>
    <w:rsid w:val="00A119CE"/>
    <w:rsid w:val="00A11B73"/>
    <w:rsid w:val="00A12251"/>
    <w:rsid w:val="00A12D59"/>
    <w:rsid w:val="00A14284"/>
    <w:rsid w:val="00A14AAE"/>
    <w:rsid w:val="00A150DD"/>
    <w:rsid w:val="00A15387"/>
    <w:rsid w:val="00A15560"/>
    <w:rsid w:val="00A1597C"/>
    <w:rsid w:val="00A16865"/>
    <w:rsid w:val="00A168E1"/>
    <w:rsid w:val="00A17D39"/>
    <w:rsid w:val="00A17E51"/>
    <w:rsid w:val="00A207CB"/>
    <w:rsid w:val="00A23960"/>
    <w:rsid w:val="00A23BA6"/>
    <w:rsid w:val="00A23FF2"/>
    <w:rsid w:val="00A24266"/>
    <w:rsid w:val="00A245BA"/>
    <w:rsid w:val="00A24633"/>
    <w:rsid w:val="00A24AF0"/>
    <w:rsid w:val="00A24EDC"/>
    <w:rsid w:val="00A254DA"/>
    <w:rsid w:val="00A26570"/>
    <w:rsid w:val="00A26918"/>
    <w:rsid w:val="00A26A05"/>
    <w:rsid w:val="00A26F74"/>
    <w:rsid w:val="00A27F83"/>
    <w:rsid w:val="00A3011B"/>
    <w:rsid w:val="00A3067F"/>
    <w:rsid w:val="00A30A77"/>
    <w:rsid w:val="00A31680"/>
    <w:rsid w:val="00A31F75"/>
    <w:rsid w:val="00A3238D"/>
    <w:rsid w:val="00A32419"/>
    <w:rsid w:val="00A328FE"/>
    <w:rsid w:val="00A32C99"/>
    <w:rsid w:val="00A32D77"/>
    <w:rsid w:val="00A33286"/>
    <w:rsid w:val="00A3369B"/>
    <w:rsid w:val="00A33760"/>
    <w:rsid w:val="00A33A43"/>
    <w:rsid w:val="00A33D4C"/>
    <w:rsid w:val="00A347CB"/>
    <w:rsid w:val="00A3509B"/>
    <w:rsid w:val="00A356A8"/>
    <w:rsid w:val="00A35A7D"/>
    <w:rsid w:val="00A35EBA"/>
    <w:rsid w:val="00A36265"/>
    <w:rsid w:val="00A364FD"/>
    <w:rsid w:val="00A367D8"/>
    <w:rsid w:val="00A36AF9"/>
    <w:rsid w:val="00A36C49"/>
    <w:rsid w:val="00A375CC"/>
    <w:rsid w:val="00A37839"/>
    <w:rsid w:val="00A37CDA"/>
    <w:rsid w:val="00A37F3F"/>
    <w:rsid w:val="00A401AD"/>
    <w:rsid w:val="00A406E1"/>
    <w:rsid w:val="00A40D53"/>
    <w:rsid w:val="00A4199B"/>
    <w:rsid w:val="00A41AB4"/>
    <w:rsid w:val="00A4202A"/>
    <w:rsid w:val="00A42241"/>
    <w:rsid w:val="00A42671"/>
    <w:rsid w:val="00A42B65"/>
    <w:rsid w:val="00A435B0"/>
    <w:rsid w:val="00A436F7"/>
    <w:rsid w:val="00A44B31"/>
    <w:rsid w:val="00A44D01"/>
    <w:rsid w:val="00A45151"/>
    <w:rsid w:val="00A45301"/>
    <w:rsid w:val="00A459A1"/>
    <w:rsid w:val="00A459C3"/>
    <w:rsid w:val="00A46068"/>
    <w:rsid w:val="00A460C9"/>
    <w:rsid w:val="00A46E1B"/>
    <w:rsid w:val="00A474D3"/>
    <w:rsid w:val="00A50500"/>
    <w:rsid w:val="00A508A0"/>
    <w:rsid w:val="00A518C4"/>
    <w:rsid w:val="00A51913"/>
    <w:rsid w:val="00A51C5E"/>
    <w:rsid w:val="00A52860"/>
    <w:rsid w:val="00A5291A"/>
    <w:rsid w:val="00A52E30"/>
    <w:rsid w:val="00A53367"/>
    <w:rsid w:val="00A5378E"/>
    <w:rsid w:val="00A538DD"/>
    <w:rsid w:val="00A53945"/>
    <w:rsid w:val="00A54E46"/>
    <w:rsid w:val="00A55321"/>
    <w:rsid w:val="00A57613"/>
    <w:rsid w:val="00A579DD"/>
    <w:rsid w:val="00A6130A"/>
    <w:rsid w:val="00A620FD"/>
    <w:rsid w:val="00A62705"/>
    <w:rsid w:val="00A627C0"/>
    <w:rsid w:val="00A63FEB"/>
    <w:rsid w:val="00A64253"/>
    <w:rsid w:val="00A64D47"/>
    <w:rsid w:val="00A65151"/>
    <w:rsid w:val="00A65175"/>
    <w:rsid w:val="00A651E7"/>
    <w:rsid w:val="00A65861"/>
    <w:rsid w:val="00A66E3C"/>
    <w:rsid w:val="00A66ED2"/>
    <w:rsid w:val="00A67BDB"/>
    <w:rsid w:val="00A70A27"/>
    <w:rsid w:val="00A70F10"/>
    <w:rsid w:val="00A718F7"/>
    <w:rsid w:val="00A72B79"/>
    <w:rsid w:val="00A73177"/>
    <w:rsid w:val="00A7336B"/>
    <w:rsid w:val="00A73835"/>
    <w:rsid w:val="00A738D0"/>
    <w:rsid w:val="00A739ED"/>
    <w:rsid w:val="00A73B07"/>
    <w:rsid w:val="00A740B1"/>
    <w:rsid w:val="00A74313"/>
    <w:rsid w:val="00A75382"/>
    <w:rsid w:val="00A753B6"/>
    <w:rsid w:val="00A75DED"/>
    <w:rsid w:val="00A75E19"/>
    <w:rsid w:val="00A76235"/>
    <w:rsid w:val="00A76679"/>
    <w:rsid w:val="00A76731"/>
    <w:rsid w:val="00A76AA7"/>
    <w:rsid w:val="00A76BB5"/>
    <w:rsid w:val="00A76D49"/>
    <w:rsid w:val="00A776F1"/>
    <w:rsid w:val="00A77C00"/>
    <w:rsid w:val="00A80186"/>
    <w:rsid w:val="00A80750"/>
    <w:rsid w:val="00A812A9"/>
    <w:rsid w:val="00A81B35"/>
    <w:rsid w:val="00A81CA2"/>
    <w:rsid w:val="00A82B21"/>
    <w:rsid w:val="00A82F03"/>
    <w:rsid w:val="00A8320A"/>
    <w:rsid w:val="00A839C4"/>
    <w:rsid w:val="00A842D5"/>
    <w:rsid w:val="00A84B39"/>
    <w:rsid w:val="00A84FE2"/>
    <w:rsid w:val="00A86378"/>
    <w:rsid w:val="00A8763D"/>
    <w:rsid w:val="00A87859"/>
    <w:rsid w:val="00A87D50"/>
    <w:rsid w:val="00A903EB"/>
    <w:rsid w:val="00A9088D"/>
    <w:rsid w:val="00A90D01"/>
    <w:rsid w:val="00A90EFC"/>
    <w:rsid w:val="00A912BE"/>
    <w:rsid w:val="00A91595"/>
    <w:rsid w:val="00A9195A"/>
    <w:rsid w:val="00A91B59"/>
    <w:rsid w:val="00A91C26"/>
    <w:rsid w:val="00A91FCA"/>
    <w:rsid w:val="00A91FE7"/>
    <w:rsid w:val="00A924B9"/>
    <w:rsid w:val="00A92CDE"/>
    <w:rsid w:val="00A92D87"/>
    <w:rsid w:val="00A92DCD"/>
    <w:rsid w:val="00A93391"/>
    <w:rsid w:val="00A934E7"/>
    <w:rsid w:val="00A93BAA"/>
    <w:rsid w:val="00A93D85"/>
    <w:rsid w:val="00A94026"/>
    <w:rsid w:val="00A94B1A"/>
    <w:rsid w:val="00A95371"/>
    <w:rsid w:val="00A95B3E"/>
    <w:rsid w:val="00A962DB"/>
    <w:rsid w:val="00A96530"/>
    <w:rsid w:val="00A9667C"/>
    <w:rsid w:val="00A96AD2"/>
    <w:rsid w:val="00A96FB4"/>
    <w:rsid w:val="00A97BFC"/>
    <w:rsid w:val="00AA1011"/>
    <w:rsid w:val="00AA1026"/>
    <w:rsid w:val="00AA1410"/>
    <w:rsid w:val="00AA20D8"/>
    <w:rsid w:val="00AA2A0A"/>
    <w:rsid w:val="00AA4543"/>
    <w:rsid w:val="00AA470F"/>
    <w:rsid w:val="00AA47AB"/>
    <w:rsid w:val="00AA483A"/>
    <w:rsid w:val="00AA4F37"/>
    <w:rsid w:val="00AA5D04"/>
    <w:rsid w:val="00AA7318"/>
    <w:rsid w:val="00AB160A"/>
    <w:rsid w:val="00AB1719"/>
    <w:rsid w:val="00AB1C1F"/>
    <w:rsid w:val="00AB2AA8"/>
    <w:rsid w:val="00AB34EE"/>
    <w:rsid w:val="00AB3AF7"/>
    <w:rsid w:val="00AB3D58"/>
    <w:rsid w:val="00AB44AD"/>
    <w:rsid w:val="00AB45B8"/>
    <w:rsid w:val="00AB47B0"/>
    <w:rsid w:val="00AB4BBB"/>
    <w:rsid w:val="00AB502D"/>
    <w:rsid w:val="00AB5D1E"/>
    <w:rsid w:val="00AB5DD8"/>
    <w:rsid w:val="00AB6CBC"/>
    <w:rsid w:val="00AB6E6A"/>
    <w:rsid w:val="00AB7A4A"/>
    <w:rsid w:val="00AB7C6A"/>
    <w:rsid w:val="00AC0035"/>
    <w:rsid w:val="00AC0FBC"/>
    <w:rsid w:val="00AC19D1"/>
    <w:rsid w:val="00AC1B4F"/>
    <w:rsid w:val="00AC1DBE"/>
    <w:rsid w:val="00AC22BF"/>
    <w:rsid w:val="00AC28F1"/>
    <w:rsid w:val="00AC2A5E"/>
    <w:rsid w:val="00AC2CBA"/>
    <w:rsid w:val="00AC2D38"/>
    <w:rsid w:val="00AC3457"/>
    <w:rsid w:val="00AC3537"/>
    <w:rsid w:val="00AC3856"/>
    <w:rsid w:val="00AC3D70"/>
    <w:rsid w:val="00AC464F"/>
    <w:rsid w:val="00AC509B"/>
    <w:rsid w:val="00AC593D"/>
    <w:rsid w:val="00AC5C2B"/>
    <w:rsid w:val="00AC5D67"/>
    <w:rsid w:val="00AC6302"/>
    <w:rsid w:val="00AC69F9"/>
    <w:rsid w:val="00AC6C62"/>
    <w:rsid w:val="00AC735F"/>
    <w:rsid w:val="00AC7F48"/>
    <w:rsid w:val="00AD0498"/>
    <w:rsid w:val="00AD0695"/>
    <w:rsid w:val="00AD0D12"/>
    <w:rsid w:val="00AD138B"/>
    <w:rsid w:val="00AD1393"/>
    <w:rsid w:val="00AD1562"/>
    <w:rsid w:val="00AD1A7D"/>
    <w:rsid w:val="00AD1C20"/>
    <w:rsid w:val="00AD2074"/>
    <w:rsid w:val="00AD21B2"/>
    <w:rsid w:val="00AD28C2"/>
    <w:rsid w:val="00AD3497"/>
    <w:rsid w:val="00AD4987"/>
    <w:rsid w:val="00AD4D12"/>
    <w:rsid w:val="00AD507F"/>
    <w:rsid w:val="00AD568B"/>
    <w:rsid w:val="00AD5B8D"/>
    <w:rsid w:val="00AD660C"/>
    <w:rsid w:val="00AD671D"/>
    <w:rsid w:val="00AD6A99"/>
    <w:rsid w:val="00AD746A"/>
    <w:rsid w:val="00AD7E02"/>
    <w:rsid w:val="00AE0647"/>
    <w:rsid w:val="00AE2242"/>
    <w:rsid w:val="00AE42BC"/>
    <w:rsid w:val="00AE483B"/>
    <w:rsid w:val="00AE4B90"/>
    <w:rsid w:val="00AE5982"/>
    <w:rsid w:val="00AE686A"/>
    <w:rsid w:val="00AE6C0C"/>
    <w:rsid w:val="00AE73BB"/>
    <w:rsid w:val="00AE7611"/>
    <w:rsid w:val="00AE795E"/>
    <w:rsid w:val="00AF0A35"/>
    <w:rsid w:val="00AF0FB3"/>
    <w:rsid w:val="00AF105D"/>
    <w:rsid w:val="00AF14DB"/>
    <w:rsid w:val="00AF1789"/>
    <w:rsid w:val="00AF1DDA"/>
    <w:rsid w:val="00AF2237"/>
    <w:rsid w:val="00AF29C9"/>
    <w:rsid w:val="00AF392D"/>
    <w:rsid w:val="00AF4366"/>
    <w:rsid w:val="00AF50DA"/>
    <w:rsid w:val="00AF5B28"/>
    <w:rsid w:val="00AF6117"/>
    <w:rsid w:val="00AF7021"/>
    <w:rsid w:val="00AF7EF7"/>
    <w:rsid w:val="00B0153C"/>
    <w:rsid w:val="00B0171A"/>
    <w:rsid w:val="00B01AD5"/>
    <w:rsid w:val="00B01B9B"/>
    <w:rsid w:val="00B020CF"/>
    <w:rsid w:val="00B025FD"/>
    <w:rsid w:val="00B03DAD"/>
    <w:rsid w:val="00B04BFC"/>
    <w:rsid w:val="00B04D3D"/>
    <w:rsid w:val="00B0526D"/>
    <w:rsid w:val="00B06286"/>
    <w:rsid w:val="00B06684"/>
    <w:rsid w:val="00B066C6"/>
    <w:rsid w:val="00B06B0A"/>
    <w:rsid w:val="00B06EC3"/>
    <w:rsid w:val="00B0755D"/>
    <w:rsid w:val="00B075B8"/>
    <w:rsid w:val="00B07835"/>
    <w:rsid w:val="00B0799D"/>
    <w:rsid w:val="00B11153"/>
    <w:rsid w:val="00B124C0"/>
    <w:rsid w:val="00B13820"/>
    <w:rsid w:val="00B13A38"/>
    <w:rsid w:val="00B13EF9"/>
    <w:rsid w:val="00B13F3C"/>
    <w:rsid w:val="00B148F1"/>
    <w:rsid w:val="00B15C04"/>
    <w:rsid w:val="00B1647A"/>
    <w:rsid w:val="00B1697F"/>
    <w:rsid w:val="00B1741A"/>
    <w:rsid w:val="00B176F0"/>
    <w:rsid w:val="00B179C4"/>
    <w:rsid w:val="00B20005"/>
    <w:rsid w:val="00B20738"/>
    <w:rsid w:val="00B210BD"/>
    <w:rsid w:val="00B2115E"/>
    <w:rsid w:val="00B21F69"/>
    <w:rsid w:val="00B227DC"/>
    <w:rsid w:val="00B22A42"/>
    <w:rsid w:val="00B22F0D"/>
    <w:rsid w:val="00B2339D"/>
    <w:rsid w:val="00B2353C"/>
    <w:rsid w:val="00B23782"/>
    <w:rsid w:val="00B23D17"/>
    <w:rsid w:val="00B24B15"/>
    <w:rsid w:val="00B2599F"/>
    <w:rsid w:val="00B25F7B"/>
    <w:rsid w:val="00B26180"/>
    <w:rsid w:val="00B26298"/>
    <w:rsid w:val="00B2631E"/>
    <w:rsid w:val="00B2698F"/>
    <w:rsid w:val="00B27AFA"/>
    <w:rsid w:val="00B30535"/>
    <w:rsid w:val="00B3059A"/>
    <w:rsid w:val="00B30E1D"/>
    <w:rsid w:val="00B30F65"/>
    <w:rsid w:val="00B3122F"/>
    <w:rsid w:val="00B31911"/>
    <w:rsid w:val="00B31BEE"/>
    <w:rsid w:val="00B33832"/>
    <w:rsid w:val="00B33E76"/>
    <w:rsid w:val="00B3437C"/>
    <w:rsid w:val="00B344FB"/>
    <w:rsid w:val="00B34809"/>
    <w:rsid w:val="00B34890"/>
    <w:rsid w:val="00B3517B"/>
    <w:rsid w:val="00B353F1"/>
    <w:rsid w:val="00B35F43"/>
    <w:rsid w:val="00B36678"/>
    <w:rsid w:val="00B36866"/>
    <w:rsid w:val="00B36B0A"/>
    <w:rsid w:val="00B36ECE"/>
    <w:rsid w:val="00B37024"/>
    <w:rsid w:val="00B377BB"/>
    <w:rsid w:val="00B40019"/>
    <w:rsid w:val="00B400D4"/>
    <w:rsid w:val="00B403B8"/>
    <w:rsid w:val="00B407CF"/>
    <w:rsid w:val="00B40D15"/>
    <w:rsid w:val="00B41552"/>
    <w:rsid w:val="00B417E4"/>
    <w:rsid w:val="00B41A2D"/>
    <w:rsid w:val="00B428AF"/>
    <w:rsid w:val="00B42D8B"/>
    <w:rsid w:val="00B4312A"/>
    <w:rsid w:val="00B43598"/>
    <w:rsid w:val="00B4376C"/>
    <w:rsid w:val="00B43942"/>
    <w:rsid w:val="00B439D6"/>
    <w:rsid w:val="00B44885"/>
    <w:rsid w:val="00B460BA"/>
    <w:rsid w:val="00B46EA3"/>
    <w:rsid w:val="00B4742A"/>
    <w:rsid w:val="00B47563"/>
    <w:rsid w:val="00B47688"/>
    <w:rsid w:val="00B47E6B"/>
    <w:rsid w:val="00B502C2"/>
    <w:rsid w:val="00B51D54"/>
    <w:rsid w:val="00B532E0"/>
    <w:rsid w:val="00B54D75"/>
    <w:rsid w:val="00B54FFA"/>
    <w:rsid w:val="00B550AA"/>
    <w:rsid w:val="00B550E9"/>
    <w:rsid w:val="00B55A3C"/>
    <w:rsid w:val="00B5653B"/>
    <w:rsid w:val="00B56CB5"/>
    <w:rsid w:val="00B57313"/>
    <w:rsid w:val="00B62176"/>
    <w:rsid w:val="00B62209"/>
    <w:rsid w:val="00B62269"/>
    <w:rsid w:val="00B62496"/>
    <w:rsid w:val="00B624D4"/>
    <w:rsid w:val="00B62823"/>
    <w:rsid w:val="00B62C9F"/>
    <w:rsid w:val="00B62E97"/>
    <w:rsid w:val="00B62F64"/>
    <w:rsid w:val="00B63E20"/>
    <w:rsid w:val="00B6401D"/>
    <w:rsid w:val="00B652BA"/>
    <w:rsid w:val="00B659FB"/>
    <w:rsid w:val="00B66B34"/>
    <w:rsid w:val="00B66EDF"/>
    <w:rsid w:val="00B67BB6"/>
    <w:rsid w:val="00B701F9"/>
    <w:rsid w:val="00B7071E"/>
    <w:rsid w:val="00B70B6D"/>
    <w:rsid w:val="00B70C1D"/>
    <w:rsid w:val="00B711A8"/>
    <w:rsid w:val="00B71394"/>
    <w:rsid w:val="00B71B05"/>
    <w:rsid w:val="00B71D1D"/>
    <w:rsid w:val="00B7246A"/>
    <w:rsid w:val="00B727B6"/>
    <w:rsid w:val="00B7423D"/>
    <w:rsid w:val="00B74F8A"/>
    <w:rsid w:val="00B7539A"/>
    <w:rsid w:val="00B7597F"/>
    <w:rsid w:val="00B75F8E"/>
    <w:rsid w:val="00B76B1C"/>
    <w:rsid w:val="00B77146"/>
    <w:rsid w:val="00B77241"/>
    <w:rsid w:val="00B773DD"/>
    <w:rsid w:val="00B77967"/>
    <w:rsid w:val="00B800CF"/>
    <w:rsid w:val="00B80330"/>
    <w:rsid w:val="00B805D2"/>
    <w:rsid w:val="00B80A86"/>
    <w:rsid w:val="00B80B17"/>
    <w:rsid w:val="00B81DE0"/>
    <w:rsid w:val="00B82387"/>
    <w:rsid w:val="00B828CD"/>
    <w:rsid w:val="00B83326"/>
    <w:rsid w:val="00B8386D"/>
    <w:rsid w:val="00B83DF3"/>
    <w:rsid w:val="00B83E85"/>
    <w:rsid w:val="00B8411C"/>
    <w:rsid w:val="00B841A6"/>
    <w:rsid w:val="00B8459A"/>
    <w:rsid w:val="00B84EC7"/>
    <w:rsid w:val="00B85143"/>
    <w:rsid w:val="00B854D4"/>
    <w:rsid w:val="00B86626"/>
    <w:rsid w:val="00B869A5"/>
    <w:rsid w:val="00B86A66"/>
    <w:rsid w:val="00B8774F"/>
    <w:rsid w:val="00B900FF"/>
    <w:rsid w:val="00B913B0"/>
    <w:rsid w:val="00B91CF7"/>
    <w:rsid w:val="00B91E5B"/>
    <w:rsid w:val="00B936D3"/>
    <w:rsid w:val="00B939D1"/>
    <w:rsid w:val="00B93F53"/>
    <w:rsid w:val="00B9426C"/>
    <w:rsid w:val="00B94F92"/>
    <w:rsid w:val="00B95359"/>
    <w:rsid w:val="00B95E12"/>
    <w:rsid w:val="00B96A80"/>
    <w:rsid w:val="00B97117"/>
    <w:rsid w:val="00B976D7"/>
    <w:rsid w:val="00B97B6E"/>
    <w:rsid w:val="00BA05CB"/>
    <w:rsid w:val="00BA0FE2"/>
    <w:rsid w:val="00BA1F18"/>
    <w:rsid w:val="00BA27C2"/>
    <w:rsid w:val="00BA2A9F"/>
    <w:rsid w:val="00BA2C56"/>
    <w:rsid w:val="00BA3052"/>
    <w:rsid w:val="00BA32BD"/>
    <w:rsid w:val="00BA3495"/>
    <w:rsid w:val="00BA39C2"/>
    <w:rsid w:val="00BA42A0"/>
    <w:rsid w:val="00BA440E"/>
    <w:rsid w:val="00BA4491"/>
    <w:rsid w:val="00BA4925"/>
    <w:rsid w:val="00BA505E"/>
    <w:rsid w:val="00BA6308"/>
    <w:rsid w:val="00BA6E8A"/>
    <w:rsid w:val="00BA70F4"/>
    <w:rsid w:val="00BA78EF"/>
    <w:rsid w:val="00BA7AB4"/>
    <w:rsid w:val="00BB04A6"/>
    <w:rsid w:val="00BB0AF1"/>
    <w:rsid w:val="00BB101F"/>
    <w:rsid w:val="00BB1450"/>
    <w:rsid w:val="00BB1550"/>
    <w:rsid w:val="00BB1686"/>
    <w:rsid w:val="00BB3C8B"/>
    <w:rsid w:val="00BB3F2E"/>
    <w:rsid w:val="00BB40D6"/>
    <w:rsid w:val="00BB5D3D"/>
    <w:rsid w:val="00BB780D"/>
    <w:rsid w:val="00BB78DD"/>
    <w:rsid w:val="00BB7922"/>
    <w:rsid w:val="00BB7F88"/>
    <w:rsid w:val="00BB7FCE"/>
    <w:rsid w:val="00BC06EA"/>
    <w:rsid w:val="00BC07AB"/>
    <w:rsid w:val="00BC114E"/>
    <w:rsid w:val="00BC19EA"/>
    <w:rsid w:val="00BC215F"/>
    <w:rsid w:val="00BC2831"/>
    <w:rsid w:val="00BC3086"/>
    <w:rsid w:val="00BC30DC"/>
    <w:rsid w:val="00BC320A"/>
    <w:rsid w:val="00BC3E97"/>
    <w:rsid w:val="00BC4F21"/>
    <w:rsid w:val="00BC50B1"/>
    <w:rsid w:val="00BC5217"/>
    <w:rsid w:val="00BC57FF"/>
    <w:rsid w:val="00BC608A"/>
    <w:rsid w:val="00BC651F"/>
    <w:rsid w:val="00BC6A04"/>
    <w:rsid w:val="00BC7085"/>
    <w:rsid w:val="00BC7661"/>
    <w:rsid w:val="00BC7DC6"/>
    <w:rsid w:val="00BC7F2F"/>
    <w:rsid w:val="00BC7F7E"/>
    <w:rsid w:val="00BC7FAD"/>
    <w:rsid w:val="00BD05A3"/>
    <w:rsid w:val="00BD1627"/>
    <w:rsid w:val="00BD1B27"/>
    <w:rsid w:val="00BD43D4"/>
    <w:rsid w:val="00BD48C3"/>
    <w:rsid w:val="00BD4F2E"/>
    <w:rsid w:val="00BD5273"/>
    <w:rsid w:val="00BD57B3"/>
    <w:rsid w:val="00BD5CFC"/>
    <w:rsid w:val="00BD6347"/>
    <w:rsid w:val="00BD6604"/>
    <w:rsid w:val="00BD6D65"/>
    <w:rsid w:val="00BD791A"/>
    <w:rsid w:val="00BD796E"/>
    <w:rsid w:val="00BD7AD9"/>
    <w:rsid w:val="00BE01CE"/>
    <w:rsid w:val="00BE03B9"/>
    <w:rsid w:val="00BE0CB9"/>
    <w:rsid w:val="00BE102E"/>
    <w:rsid w:val="00BE1AD6"/>
    <w:rsid w:val="00BE1CA8"/>
    <w:rsid w:val="00BE1D8F"/>
    <w:rsid w:val="00BE30F7"/>
    <w:rsid w:val="00BE34F2"/>
    <w:rsid w:val="00BE3C81"/>
    <w:rsid w:val="00BE4676"/>
    <w:rsid w:val="00BE5010"/>
    <w:rsid w:val="00BE50D0"/>
    <w:rsid w:val="00BE52D8"/>
    <w:rsid w:val="00BE5AE5"/>
    <w:rsid w:val="00BE6AA5"/>
    <w:rsid w:val="00BE6C45"/>
    <w:rsid w:val="00BE6FAF"/>
    <w:rsid w:val="00BE73A4"/>
    <w:rsid w:val="00BE768E"/>
    <w:rsid w:val="00BE76F3"/>
    <w:rsid w:val="00BE77AF"/>
    <w:rsid w:val="00BE785B"/>
    <w:rsid w:val="00BE795C"/>
    <w:rsid w:val="00BE7F7B"/>
    <w:rsid w:val="00BF026A"/>
    <w:rsid w:val="00BF0765"/>
    <w:rsid w:val="00BF09EB"/>
    <w:rsid w:val="00BF0E16"/>
    <w:rsid w:val="00BF0F3C"/>
    <w:rsid w:val="00BF1155"/>
    <w:rsid w:val="00BF1ED2"/>
    <w:rsid w:val="00BF2051"/>
    <w:rsid w:val="00BF20D0"/>
    <w:rsid w:val="00BF22E8"/>
    <w:rsid w:val="00BF240D"/>
    <w:rsid w:val="00BF3189"/>
    <w:rsid w:val="00BF3692"/>
    <w:rsid w:val="00BF4718"/>
    <w:rsid w:val="00BF5478"/>
    <w:rsid w:val="00BF57B2"/>
    <w:rsid w:val="00BF5983"/>
    <w:rsid w:val="00BF5B23"/>
    <w:rsid w:val="00BF6C66"/>
    <w:rsid w:val="00BF6C9F"/>
    <w:rsid w:val="00BF6DC3"/>
    <w:rsid w:val="00BF7288"/>
    <w:rsid w:val="00C00A49"/>
    <w:rsid w:val="00C00BBA"/>
    <w:rsid w:val="00C00CB9"/>
    <w:rsid w:val="00C0169F"/>
    <w:rsid w:val="00C016D7"/>
    <w:rsid w:val="00C01A11"/>
    <w:rsid w:val="00C01C28"/>
    <w:rsid w:val="00C02048"/>
    <w:rsid w:val="00C027B5"/>
    <w:rsid w:val="00C03658"/>
    <w:rsid w:val="00C03DB8"/>
    <w:rsid w:val="00C04055"/>
    <w:rsid w:val="00C04BB7"/>
    <w:rsid w:val="00C04C63"/>
    <w:rsid w:val="00C06525"/>
    <w:rsid w:val="00C065A6"/>
    <w:rsid w:val="00C06A31"/>
    <w:rsid w:val="00C0706C"/>
    <w:rsid w:val="00C07242"/>
    <w:rsid w:val="00C10197"/>
    <w:rsid w:val="00C1060B"/>
    <w:rsid w:val="00C13A8A"/>
    <w:rsid w:val="00C13C60"/>
    <w:rsid w:val="00C13F32"/>
    <w:rsid w:val="00C13FB3"/>
    <w:rsid w:val="00C14842"/>
    <w:rsid w:val="00C14BBA"/>
    <w:rsid w:val="00C16905"/>
    <w:rsid w:val="00C1698E"/>
    <w:rsid w:val="00C16B38"/>
    <w:rsid w:val="00C1771C"/>
    <w:rsid w:val="00C17CE0"/>
    <w:rsid w:val="00C17FD5"/>
    <w:rsid w:val="00C201D2"/>
    <w:rsid w:val="00C205BF"/>
    <w:rsid w:val="00C20C09"/>
    <w:rsid w:val="00C21324"/>
    <w:rsid w:val="00C21C2F"/>
    <w:rsid w:val="00C221EB"/>
    <w:rsid w:val="00C2262D"/>
    <w:rsid w:val="00C23C6B"/>
    <w:rsid w:val="00C24499"/>
    <w:rsid w:val="00C247B8"/>
    <w:rsid w:val="00C248EE"/>
    <w:rsid w:val="00C254E5"/>
    <w:rsid w:val="00C258C1"/>
    <w:rsid w:val="00C26364"/>
    <w:rsid w:val="00C2664D"/>
    <w:rsid w:val="00C267FE"/>
    <w:rsid w:val="00C2681B"/>
    <w:rsid w:val="00C2711F"/>
    <w:rsid w:val="00C275C7"/>
    <w:rsid w:val="00C303DC"/>
    <w:rsid w:val="00C30E4E"/>
    <w:rsid w:val="00C317B3"/>
    <w:rsid w:val="00C319C7"/>
    <w:rsid w:val="00C31A17"/>
    <w:rsid w:val="00C31CF1"/>
    <w:rsid w:val="00C31FEC"/>
    <w:rsid w:val="00C32275"/>
    <w:rsid w:val="00C327FA"/>
    <w:rsid w:val="00C341FB"/>
    <w:rsid w:val="00C34868"/>
    <w:rsid w:val="00C34B27"/>
    <w:rsid w:val="00C351CE"/>
    <w:rsid w:val="00C35218"/>
    <w:rsid w:val="00C35306"/>
    <w:rsid w:val="00C355F2"/>
    <w:rsid w:val="00C3574A"/>
    <w:rsid w:val="00C357EB"/>
    <w:rsid w:val="00C359A3"/>
    <w:rsid w:val="00C35FA3"/>
    <w:rsid w:val="00C36639"/>
    <w:rsid w:val="00C367F3"/>
    <w:rsid w:val="00C37505"/>
    <w:rsid w:val="00C3763B"/>
    <w:rsid w:val="00C3766D"/>
    <w:rsid w:val="00C379D2"/>
    <w:rsid w:val="00C4003A"/>
    <w:rsid w:val="00C40390"/>
    <w:rsid w:val="00C403A1"/>
    <w:rsid w:val="00C40B86"/>
    <w:rsid w:val="00C423AF"/>
    <w:rsid w:val="00C435D4"/>
    <w:rsid w:val="00C43C54"/>
    <w:rsid w:val="00C43F10"/>
    <w:rsid w:val="00C44E00"/>
    <w:rsid w:val="00C45059"/>
    <w:rsid w:val="00C45327"/>
    <w:rsid w:val="00C456A9"/>
    <w:rsid w:val="00C458F7"/>
    <w:rsid w:val="00C45AEB"/>
    <w:rsid w:val="00C46749"/>
    <w:rsid w:val="00C46A7C"/>
    <w:rsid w:val="00C4735E"/>
    <w:rsid w:val="00C503E8"/>
    <w:rsid w:val="00C50793"/>
    <w:rsid w:val="00C507ED"/>
    <w:rsid w:val="00C516A7"/>
    <w:rsid w:val="00C52113"/>
    <w:rsid w:val="00C5235C"/>
    <w:rsid w:val="00C54ECA"/>
    <w:rsid w:val="00C55870"/>
    <w:rsid w:val="00C55D05"/>
    <w:rsid w:val="00C55EEC"/>
    <w:rsid w:val="00C56348"/>
    <w:rsid w:val="00C57209"/>
    <w:rsid w:val="00C57A12"/>
    <w:rsid w:val="00C601EF"/>
    <w:rsid w:val="00C61408"/>
    <w:rsid w:val="00C61DE2"/>
    <w:rsid w:val="00C62714"/>
    <w:rsid w:val="00C63255"/>
    <w:rsid w:val="00C6366D"/>
    <w:rsid w:val="00C6427C"/>
    <w:rsid w:val="00C64338"/>
    <w:rsid w:val="00C64F20"/>
    <w:rsid w:val="00C6556B"/>
    <w:rsid w:val="00C65C58"/>
    <w:rsid w:val="00C65D0E"/>
    <w:rsid w:val="00C666A9"/>
    <w:rsid w:val="00C66F6B"/>
    <w:rsid w:val="00C6709B"/>
    <w:rsid w:val="00C67666"/>
    <w:rsid w:val="00C70A7C"/>
    <w:rsid w:val="00C71375"/>
    <w:rsid w:val="00C71DFE"/>
    <w:rsid w:val="00C71ECA"/>
    <w:rsid w:val="00C72265"/>
    <w:rsid w:val="00C722BD"/>
    <w:rsid w:val="00C7254F"/>
    <w:rsid w:val="00C72996"/>
    <w:rsid w:val="00C73971"/>
    <w:rsid w:val="00C74939"/>
    <w:rsid w:val="00C749CD"/>
    <w:rsid w:val="00C75FA5"/>
    <w:rsid w:val="00C760CB"/>
    <w:rsid w:val="00C765FD"/>
    <w:rsid w:val="00C76C32"/>
    <w:rsid w:val="00C779CE"/>
    <w:rsid w:val="00C77E22"/>
    <w:rsid w:val="00C80F69"/>
    <w:rsid w:val="00C81FC3"/>
    <w:rsid w:val="00C82C8C"/>
    <w:rsid w:val="00C83021"/>
    <w:rsid w:val="00C83114"/>
    <w:rsid w:val="00C8398D"/>
    <w:rsid w:val="00C83C3F"/>
    <w:rsid w:val="00C84322"/>
    <w:rsid w:val="00C84E65"/>
    <w:rsid w:val="00C87246"/>
    <w:rsid w:val="00C873C9"/>
    <w:rsid w:val="00C8755B"/>
    <w:rsid w:val="00C9093A"/>
    <w:rsid w:val="00C90F0E"/>
    <w:rsid w:val="00C91CA0"/>
    <w:rsid w:val="00C920F9"/>
    <w:rsid w:val="00C923F9"/>
    <w:rsid w:val="00C92723"/>
    <w:rsid w:val="00C92898"/>
    <w:rsid w:val="00C9363C"/>
    <w:rsid w:val="00C93ED8"/>
    <w:rsid w:val="00C94214"/>
    <w:rsid w:val="00C95068"/>
    <w:rsid w:val="00C95694"/>
    <w:rsid w:val="00C957FD"/>
    <w:rsid w:val="00C962D0"/>
    <w:rsid w:val="00C96523"/>
    <w:rsid w:val="00C965CC"/>
    <w:rsid w:val="00C96D98"/>
    <w:rsid w:val="00C96FA1"/>
    <w:rsid w:val="00C97BFC"/>
    <w:rsid w:val="00CA0326"/>
    <w:rsid w:val="00CA0BAD"/>
    <w:rsid w:val="00CA11C4"/>
    <w:rsid w:val="00CA2395"/>
    <w:rsid w:val="00CA2E97"/>
    <w:rsid w:val="00CA3961"/>
    <w:rsid w:val="00CA3CCD"/>
    <w:rsid w:val="00CA3EFD"/>
    <w:rsid w:val="00CA3EFE"/>
    <w:rsid w:val="00CA3F52"/>
    <w:rsid w:val="00CA418A"/>
    <w:rsid w:val="00CA5679"/>
    <w:rsid w:val="00CA568B"/>
    <w:rsid w:val="00CA57AE"/>
    <w:rsid w:val="00CA66CE"/>
    <w:rsid w:val="00CA67B1"/>
    <w:rsid w:val="00CA7073"/>
    <w:rsid w:val="00CA70B3"/>
    <w:rsid w:val="00CA749A"/>
    <w:rsid w:val="00CB02E5"/>
    <w:rsid w:val="00CB0A8A"/>
    <w:rsid w:val="00CB0B4D"/>
    <w:rsid w:val="00CB1CEE"/>
    <w:rsid w:val="00CB2450"/>
    <w:rsid w:val="00CB3099"/>
    <w:rsid w:val="00CB3A9B"/>
    <w:rsid w:val="00CB4492"/>
    <w:rsid w:val="00CB4B69"/>
    <w:rsid w:val="00CB5044"/>
    <w:rsid w:val="00CB5897"/>
    <w:rsid w:val="00CB5BD4"/>
    <w:rsid w:val="00CB637F"/>
    <w:rsid w:val="00CB6F73"/>
    <w:rsid w:val="00CB775E"/>
    <w:rsid w:val="00CB7AF9"/>
    <w:rsid w:val="00CB7E03"/>
    <w:rsid w:val="00CC0174"/>
    <w:rsid w:val="00CC2987"/>
    <w:rsid w:val="00CC2FCF"/>
    <w:rsid w:val="00CC3043"/>
    <w:rsid w:val="00CC3845"/>
    <w:rsid w:val="00CC3BD1"/>
    <w:rsid w:val="00CC44B7"/>
    <w:rsid w:val="00CC4BC5"/>
    <w:rsid w:val="00CC5E31"/>
    <w:rsid w:val="00CC61CB"/>
    <w:rsid w:val="00CC62D5"/>
    <w:rsid w:val="00CC675D"/>
    <w:rsid w:val="00CC6D1B"/>
    <w:rsid w:val="00CC6FE0"/>
    <w:rsid w:val="00CC74C5"/>
    <w:rsid w:val="00CC7D85"/>
    <w:rsid w:val="00CD0463"/>
    <w:rsid w:val="00CD0D21"/>
    <w:rsid w:val="00CD0F91"/>
    <w:rsid w:val="00CD18C1"/>
    <w:rsid w:val="00CD1BD9"/>
    <w:rsid w:val="00CD21A0"/>
    <w:rsid w:val="00CD2E78"/>
    <w:rsid w:val="00CD5D8D"/>
    <w:rsid w:val="00CD75AF"/>
    <w:rsid w:val="00CE016D"/>
    <w:rsid w:val="00CE2838"/>
    <w:rsid w:val="00CE2986"/>
    <w:rsid w:val="00CE2E15"/>
    <w:rsid w:val="00CE338D"/>
    <w:rsid w:val="00CE39AE"/>
    <w:rsid w:val="00CE3F18"/>
    <w:rsid w:val="00CE46B6"/>
    <w:rsid w:val="00CE4784"/>
    <w:rsid w:val="00CE5B9C"/>
    <w:rsid w:val="00CE5E61"/>
    <w:rsid w:val="00CE65CA"/>
    <w:rsid w:val="00CE668F"/>
    <w:rsid w:val="00CE6DEF"/>
    <w:rsid w:val="00CE73AD"/>
    <w:rsid w:val="00CF01C2"/>
    <w:rsid w:val="00CF0F34"/>
    <w:rsid w:val="00CF101A"/>
    <w:rsid w:val="00CF13FB"/>
    <w:rsid w:val="00CF15E1"/>
    <w:rsid w:val="00CF225E"/>
    <w:rsid w:val="00CF2435"/>
    <w:rsid w:val="00CF2C08"/>
    <w:rsid w:val="00CF36E2"/>
    <w:rsid w:val="00CF3732"/>
    <w:rsid w:val="00CF4012"/>
    <w:rsid w:val="00CF418B"/>
    <w:rsid w:val="00CF4335"/>
    <w:rsid w:val="00CF4429"/>
    <w:rsid w:val="00CF4AE9"/>
    <w:rsid w:val="00CF4B13"/>
    <w:rsid w:val="00CF4C76"/>
    <w:rsid w:val="00CF5214"/>
    <w:rsid w:val="00CF539B"/>
    <w:rsid w:val="00CF53E5"/>
    <w:rsid w:val="00CF625D"/>
    <w:rsid w:val="00CF6779"/>
    <w:rsid w:val="00CF6D91"/>
    <w:rsid w:val="00CF6EAA"/>
    <w:rsid w:val="00CF7C5A"/>
    <w:rsid w:val="00D00B9D"/>
    <w:rsid w:val="00D01068"/>
    <w:rsid w:val="00D014D1"/>
    <w:rsid w:val="00D019BC"/>
    <w:rsid w:val="00D02BAC"/>
    <w:rsid w:val="00D02C72"/>
    <w:rsid w:val="00D04022"/>
    <w:rsid w:val="00D050D8"/>
    <w:rsid w:val="00D055C5"/>
    <w:rsid w:val="00D06C91"/>
    <w:rsid w:val="00D0741E"/>
    <w:rsid w:val="00D07615"/>
    <w:rsid w:val="00D07950"/>
    <w:rsid w:val="00D07D6F"/>
    <w:rsid w:val="00D10509"/>
    <w:rsid w:val="00D10AE7"/>
    <w:rsid w:val="00D1156A"/>
    <w:rsid w:val="00D116FD"/>
    <w:rsid w:val="00D11EDF"/>
    <w:rsid w:val="00D121D3"/>
    <w:rsid w:val="00D12FD2"/>
    <w:rsid w:val="00D137F5"/>
    <w:rsid w:val="00D14499"/>
    <w:rsid w:val="00D14FC3"/>
    <w:rsid w:val="00D15287"/>
    <w:rsid w:val="00D159E8"/>
    <w:rsid w:val="00D15B4F"/>
    <w:rsid w:val="00D15FEB"/>
    <w:rsid w:val="00D16587"/>
    <w:rsid w:val="00D1659B"/>
    <w:rsid w:val="00D17928"/>
    <w:rsid w:val="00D17959"/>
    <w:rsid w:val="00D17C56"/>
    <w:rsid w:val="00D201D6"/>
    <w:rsid w:val="00D20780"/>
    <w:rsid w:val="00D207A7"/>
    <w:rsid w:val="00D208CE"/>
    <w:rsid w:val="00D20DE1"/>
    <w:rsid w:val="00D21130"/>
    <w:rsid w:val="00D22991"/>
    <w:rsid w:val="00D22D9E"/>
    <w:rsid w:val="00D233F8"/>
    <w:rsid w:val="00D2372D"/>
    <w:rsid w:val="00D23EBE"/>
    <w:rsid w:val="00D245F2"/>
    <w:rsid w:val="00D2492D"/>
    <w:rsid w:val="00D24CE1"/>
    <w:rsid w:val="00D257D8"/>
    <w:rsid w:val="00D25DAE"/>
    <w:rsid w:val="00D26456"/>
    <w:rsid w:val="00D2657F"/>
    <w:rsid w:val="00D27466"/>
    <w:rsid w:val="00D275D2"/>
    <w:rsid w:val="00D277EE"/>
    <w:rsid w:val="00D30281"/>
    <w:rsid w:val="00D31102"/>
    <w:rsid w:val="00D31246"/>
    <w:rsid w:val="00D31C3D"/>
    <w:rsid w:val="00D32CB2"/>
    <w:rsid w:val="00D32EC9"/>
    <w:rsid w:val="00D3335C"/>
    <w:rsid w:val="00D33426"/>
    <w:rsid w:val="00D3479B"/>
    <w:rsid w:val="00D3626F"/>
    <w:rsid w:val="00D3695F"/>
    <w:rsid w:val="00D36CA9"/>
    <w:rsid w:val="00D37A8B"/>
    <w:rsid w:val="00D40150"/>
    <w:rsid w:val="00D401C8"/>
    <w:rsid w:val="00D417F7"/>
    <w:rsid w:val="00D41C34"/>
    <w:rsid w:val="00D41C76"/>
    <w:rsid w:val="00D41D9E"/>
    <w:rsid w:val="00D4280E"/>
    <w:rsid w:val="00D42DAA"/>
    <w:rsid w:val="00D4415A"/>
    <w:rsid w:val="00D44CA6"/>
    <w:rsid w:val="00D44E47"/>
    <w:rsid w:val="00D45263"/>
    <w:rsid w:val="00D473DC"/>
    <w:rsid w:val="00D47870"/>
    <w:rsid w:val="00D50591"/>
    <w:rsid w:val="00D51213"/>
    <w:rsid w:val="00D51397"/>
    <w:rsid w:val="00D51808"/>
    <w:rsid w:val="00D5245E"/>
    <w:rsid w:val="00D52A04"/>
    <w:rsid w:val="00D532DF"/>
    <w:rsid w:val="00D536D5"/>
    <w:rsid w:val="00D54013"/>
    <w:rsid w:val="00D54370"/>
    <w:rsid w:val="00D56012"/>
    <w:rsid w:val="00D56675"/>
    <w:rsid w:val="00D56869"/>
    <w:rsid w:val="00D5697A"/>
    <w:rsid w:val="00D57D8A"/>
    <w:rsid w:val="00D60E4F"/>
    <w:rsid w:val="00D60FB8"/>
    <w:rsid w:val="00D61060"/>
    <w:rsid w:val="00D6112F"/>
    <w:rsid w:val="00D61AD9"/>
    <w:rsid w:val="00D61B99"/>
    <w:rsid w:val="00D61C35"/>
    <w:rsid w:val="00D62913"/>
    <w:rsid w:val="00D62DA7"/>
    <w:rsid w:val="00D62E3A"/>
    <w:rsid w:val="00D636BA"/>
    <w:rsid w:val="00D64A48"/>
    <w:rsid w:val="00D65FEF"/>
    <w:rsid w:val="00D66024"/>
    <w:rsid w:val="00D660BB"/>
    <w:rsid w:val="00D661E3"/>
    <w:rsid w:val="00D668C4"/>
    <w:rsid w:val="00D6698C"/>
    <w:rsid w:val="00D669BA"/>
    <w:rsid w:val="00D66DF5"/>
    <w:rsid w:val="00D67374"/>
    <w:rsid w:val="00D67D1B"/>
    <w:rsid w:val="00D70825"/>
    <w:rsid w:val="00D70A63"/>
    <w:rsid w:val="00D70F2B"/>
    <w:rsid w:val="00D71259"/>
    <w:rsid w:val="00D71386"/>
    <w:rsid w:val="00D71D1F"/>
    <w:rsid w:val="00D72249"/>
    <w:rsid w:val="00D724C4"/>
    <w:rsid w:val="00D725A3"/>
    <w:rsid w:val="00D731A7"/>
    <w:rsid w:val="00D73362"/>
    <w:rsid w:val="00D735E9"/>
    <w:rsid w:val="00D737EE"/>
    <w:rsid w:val="00D739DB"/>
    <w:rsid w:val="00D74106"/>
    <w:rsid w:val="00D74388"/>
    <w:rsid w:val="00D74535"/>
    <w:rsid w:val="00D7456E"/>
    <w:rsid w:val="00D74C6E"/>
    <w:rsid w:val="00D74E30"/>
    <w:rsid w:val="00D752E0"/>
    <w:rsid w:val="00D75897"/>
    <w:rsid w:val="00D759B3"/>
    <w:rsid w:val="00D75B10"/>
    <w:rsid w:val="00D76590"/>
    <w:rsid w:val="00D766BB"/>
    <w:rsid w:val="00D7693B"/>
    <w:rsid w:val="00D7774C"/>
    <w:rsid w:val="00D77830"/>
    <w:rsid w:val="00D77BDC"/>
    <w:rsid w:val="00D80412"/>
    <w:rsid w:val="00D80843"/>
    <w:rsid w:val="00D81532"/>
    <w:rsid w:val="00D82012"/>
    <w:rsid w:val="00D82B2D"/>
    <w:rsid w:val="00D831B8"/>
    <w:rsid w:val="00D839BB"/>
    <w:rsid w:val="00D83A1F"/>
    <w:rsid w:val="00D83AA1"/>
    <w:rsid w:val="00D83DF2"/>
    <w:rsid w:val="00D83F90"/>
    <w:rsid w:val="00D84877"/>
    <w:rsid w:val="00D85037"/>
    <w:rsid w:val="00D856EF"/>
    <w:rsid w:val="00D86F2F"/>
    <w:rsid w:val="00D871CD"/>
    <w:rsid w:val="00D8722C"/>
    <w:rsid w:val="00D87DF8"/>
    <w:rsid w:val="00D903CD"/>
    <w:rsid w:val="00D90498"/>
    <w:rsid w:val="00D90D10"/>
    <w:rsid w:val="00D9147C"/>
    <w:rsid w:val="00D91C0E"/>
    <w:rsid w:val="00D91CA6"/>
    <w:rsid w:val="00D9262D"/>
    <w:rsid w:val="00D926A3"/>
    <w:rsid w:val="00D93794"/>
    <w:rsid w:val="00D93A52"/>
    <w:rsid w:val="00D946F2"/>
    <w:rsid w:val="00D94B50"/>
    <w:rsid w:val="00D95009"/>
    <w:rsid w:val="00D955A3"/>
    <w:rsid w:val="00D966A8"/>
    <w:rsid w:val="00D96F28"/>
    <w:rsid w:val="00DA08BB"/>
    <w:rsid w:val="00DA112A"/>
    <w:rsid w:val="00DA16BD"/>
    <w:rsid w:val="00DA208F"/>
    <w:rsid w:val="00DA227F"/>
    <w:rsid w:val="00DA24A4"/>
    <w:rsid w:val="00DA281A"/>
    <w:rsid w:val="00DA501B"/>
    <w:rsid w:val="00DA544A"/>
    <w:rsid w:val="00DA591E"/>
    <w:rsid w:val="00DA5BD3"/>
    <w:rsid w:val="00DA6DFF"/>
    <w:rsid w:val="00DA78BA"/>
    <w:rsid w:val="00DB020B"/>
    <w:rsid w:val="00DB08BB"/>
    <w:rsid w:val="00DB0929"/>
    <w:rsid w:val="00DB0994"/>
    <w:rsid w:val="00DB0B47"/>
    <w:rsid w:val="00DB20E1"/>
    <w:rsid w:val="00DB24A0"/>
    <w:rsid w:val="00DB25A5"/>
    <w:rsid w:val="00DB2645"/>
    <w:rsid w:val="00DB2772"/>
    <w:rsid w:val="00DB2C99"/>
    <w:rsid w:val="00DB2D2F"/>
    <w:rsid w:val="00DB3206"/>
    <w:rsid w:val="00DB3271"/>
    <w:rsid w:val="00DB3556"/>
    <w:rsid w:val="00DB3D7E"/>
    <w:rsid w:val="00DB499F"/>
    <w:rsid w:val="00DB4BB3"/>
    <w:rsid w:val="00DB4D2E"/>
    <w:rsid w:val="00DB4E79"/>
    <w:rsid w:val="00DB55EE"/>
    <w:rsid w:val="00DB5609"/>
    <w:rsid w:val="00DB5713"/>
    <w:rsid w:val="00DB5B55"/>
    <w:rsid w:val="00DB5F56"/>
    <w:rsid w:val="00DB69AC"/>
    <w:rsid w:val="00DB7586"/>
    <w:rsid w:val="00DC065A"/>
    <w:rsid w:val="00DC07DE"/>
    <w:rsid w:val="00DC0F09"/>
    <w:rsid w:val="00DC122C"/>
    <w:rsid w:val="00DC175C"/>
    <w:rsid w:val="00DC1DC0"/>
    <w:rsid w:val="00DC1FD9"/>
    <w:rsid w:val="00DC233D"/>
    <w:rsid w:val="00DC29CC"/>
    <w:rsid w:val="00DC2D37"/>
    <w:rsid w:val="00DC2FF9"/>
    <w:rsid w:val="00DC37DF"/>
    <w:rsid w:val="00DC38A1"/>
    <w:rsid w:val="00DC4574"/>
    <w:rsid w:val="00DC46C6"/>
    <w:rsid w:val="00DC4C07"/>
    <w:rsid w:val="00DC59D8"/>
    <w:rsid w:val="00DC5C69"/>
    <w:rsid w:val="00DC5DA9"/>
    <w:rsid w:val="00DC5F6C"/>
    <w:rsid w:val="00DC608E"/>
    <w:rsid w:val="00DC610C"/>
    <w:rsid w:val="00DC64B6"/>
    <w:rsid w:val="00DC7662"/>
    <w:rsid w:val="00DC7E30"/>
    <w:rsid w:val="00DD0164"/>
    <w:rsid w:val="00DD17F2"/>
    <w:rsid w:val="00DD2305"/>
    <w:rsid w:val="00DD339B"/>
    <w:rsid w:val="00DD35B5"/>
    <w:rsid w:val="00DD3857"/>
    <w:rsid w:val="00DD3A01"/>
    <w:rsid w:val="00DD3BC0"/>
    <w:rsid w:val="00DD3BF6"/>
    <w:rsid w:val="00DD3CDF"/>
    <w:rsid w:val="00DD498D"/>
    <w:rsid w:val="00DD4A43"/>
    <w:rsid w:val="00DD4AD6"/>
    <w:rsid w:val="00DD4D00"/>
    <w:rsid w:val="00DD4E1C"/>
    <w:rsid w:val="00DD5063"/>
    <w:rsid w:val="00DD5158"/>
    <w:rsid w:val="00DD530D"/>
    <w:rsid w:val="00DD7064"/>
    <w:rsid w:val="00DD7356"/>
    <w:rsid w:val="00DD760A"/>
    <w:rsid w:val="00DD7E33"/>
    <w:rsid w:val="00DE01BC"/>
    <w:rsid w:val="00DE1A6C"/>
    <w:rsid w:val="00DE2694"/>
    <w:rsid w:val="00DE2E0F"/>
    <w:rsid w:val="00DE33D9"/>
    <w:rsid w:val="00DE3EB5"/>
    <w:rsid w:val="00DE50D7"/>
    <w:rsid w:val="00DE5218"/>
    <w:rsid w:val="00DE52C9"/>
    <w:rsid w:val="00DE5F70"/>
    <w:rsid w:val="00DE6A49"/>
    <w:rsid w:val="00DE7871"/>
    <w:rsid w:val="00DF069B"/>
    <w:rsid w:val="00DF0AC1"/>
    <w:rsid w:val="00DF17F3"/>
    <w:rsid w:val="00DF1F62"/>
    <w:rsid w:val="00DF230E"/>
    <w:rsid w:val="00DF25CB"/>
    <w:rsid w:val="00DF2E34"/>
    <w:rsid w:val="00DF300B"/>
    <w:rsid w:val="00DF3571"/>
    <w:rsid w:val="00DF393C"/>
    <w:rsid w:val="00DF3D2E"/>
    <w:rsid w:val="00DF3FC0"/>
    <w:rsid w:val="00DF57FB"/>
    <w:rsid w:val="00DF5869"/>
    <w:rsid w:val="00DF5BF4"/>
    <w:rsid w:val="00DF60CB"/>
    <w:rsid w:val="00DF6CB0"/>
    <w:rsid w:val="00DF76CB"/>
    <w:rsid w:val="00E00766"/>
    <w:rsid w:val="00E0101E"/>
    <w:rsid w:val="00E01516"/>
    <w:rsid w:val="00E01EBA"/>
    <w:rsid w:val="00E021AC"/>
    <w:rsid w:val="00E02443"/>
    <w:rsid w:val="00E02B3B"/>
    <w:rsid w:val="00E0336A"/>
    <w:rsid w:val="00E03CB6"/>
    <w:rsid w:val="00E03DE9"/>
    <w:rsid w:val="00E04454"/>
    <w:rsid w:val="00E04667"/>
    <w:rsid w:val="00E05755"/>
    <w:rsid w:val="00E062F1"/>
    <w:rsid w:val="00E06E8D"/>
    <w:rsid w:val="00E06F7C"/>
    <w:rsid w:val="00E07718"/>
    <w:rsid w:val="00E1017A"/>
    <w:rsid w:val="00E1197C"/>
    <w:rsid w:val="00E127FB"/>
    <w:rsid w:val="00E129A1"/>
    <w:rsid w:val="00E129CA"/>
    <w:rsid w:val="00E14611"/>
    <w:rsid w:val="00E15238"/>
    <w:rsid w:val="00E152F4"/>
    <w:rsid w:val="00E1554B"/>
    <w:rsid w:val="00E1692F"/>
    <w:rsid w:val="00E1750B"/>
    <w:rsid w:val="00E17DDD"/>
    <w:rsid w:val="00E209F1"/>
    <w:rsid w:val="00E209FF"/>
    <w:rsid w:val="00E21585"/>
    <w:rsid w:val="00E218A5"/>
    <w:rsid w:val="00E21B27"/>
    <w:rsid w:val="00E22325"/>
    <w:rsid w:val="00E22E76"/>
    <w:rsid w:val="00E247F3"/>
    <w:rsid w:val="00E24B6A"/>
    <w:rsid w:val="00E250B6"/>
    <w:rsid w:val="00E25319"/>
    <w:rsid w:val="00E25450"/>
    <w:rsid w:val="00E2638A"/>
    <w:rsid w:val="00E3185D"/>
    <w:rsid w:val="00E34E0A"/>
    <w:rsid w:val="00E36017"/>
    <w:rsid w:val="00E366BB"/>
    <w:rsid w:val="00E37543"/>
    <w:rsid w:val="00E37819"/>
    <w:rsid w:val="00E401EA"/>
    <w:rsid w:val="00E40BD1"/>
    <w:rsid w:val="00E40FF5"/>
    <w:rsid w:val="00E42FD7"/>
    <w:rsid w:val="00E43B0F"/>
    <w:rsid w:val="00E43BB1"/>
    <w:rsid w:val="00E43C98"/>
    <w:rsid w:val="00E44655"/>
    <w:rsid w:val="00E44885"/>
    <w:rsid w:val="00E44903"/>
    <w:rsid w:val="00E45145"/>
    <w:rsid w:val="00E4567D"/>
    <w:rsid w:val="00E45DAB"/>
    <w:rsid w:val="00E4614E"/>
    <w:rsid w:val="00E4669D"/>
    <w:rsid w:val="00E47925"/>
    <w:rsid w:val="00E5068D"/>
    <w:rsid w:val="00E50802"/>
    <w:rsid w:val="00E50BE0"/>
    <w:rsid w:val="00E50CF5"/>
    <w:rsid w:val="00E50E21"/>
    <w:rsid w:val="00E51B29"/>
    <w:rsid w:val="00E529A6"/>
    <w:rsid w:val="00E52F0B"/>
    <w:rsid w:val="00E53533"/>
    <w:rsid w:val="00E55493"/>
    <w:rsid w:val="00E5579F"/>
    <w:rsid w:val="00E55C7E"/>
    <w:rsid w:val="00E563DB"/>
    <w:rsid w:val="00E56B13"/>
    <w:rsid w:val="00E57989"/>
    <w:rsid w:val="00E6061A"/>
    <w:rsid w:val="00E6065C"/>
    <w:rsid w:val="00E61698"/>
    <w:rsid w:val="00E6177A"/>
    <w:rsid w:val="00E61D75"/>
    <w:rsid w:val="00E61F5E"/>
    <w:rsid w:val="00E6240E"/>
    <w:rsid w:val="00E627B9"/>
    <w:rsid w:val="00E62935"/>
    <w:rsid w:val="00E6296A"/>
    <w:rsid w:val="00E62D89"/>
    <w:rsid w:val="00E63F35"/>
    <w:rsid w:val="00E64D09"/>
    <w:rsid w:val="00E64D53"/>
    <w:rsid w:val="00E65367"/>
    <w:rsid w:val="00E65CAC"/>
    <w:rsid w:val="00E6632B"/>
    <w:rsid w:val="00E66368"/>
    <w:rsid w:val="00E66FD2"/>
    <w:rsid w:val="00E6702C"/>
    <w:rsid w:val="00E67115"/>
    <w:rsid w:val="00E67295"/>
    <w:rsid w:val="00E67C28"/>
    <w:rsid w:val="00E67D98"/>
    <w:rsid w:val="00E70E9D"/>
    <w:rsid w:val="00E71055"/>
    <w:rsid w:val="00E72E06"/>
    <w:rsid w:val="00E73A6D"/>
    <w:rsid w:val="00E73E60"/>
    <w:rsid w:val="00E766CC"/>
    <w:rsid w:val="00E76ACA"/>
    <w:rsid w:val="00E77584"/>
    <w:rsid w:val="00E77644"/>
    <w:rsid w:val="00E807B5"/>
    <w:rsid w:val="00E808A4"/>
    <w:rsid w:val="00E81B5B"/>
    <w:rsid w:val="00E81BDC"/>
    <w:rsid w:val="00E82A73"/>
    <w:rsid w:val="00E82B66"/>
    <w:rsid w:val="00E83998"/>
    <w:rsid w:val="00E84A42"/>
    <w:rsid w:val="00E858FA"/>
    <w:rsid w:val="00E85BFC"/>
    <w:rsid w:val="00E85DC7"/>
    <w:rsid w:val="00E866BA"/>
    <w:rsid w:val="00E86926"/>
    <w:rsid w:val="00E87C17"/>
    <w:rsid w:val="00E90CDD"/>
    <w:rsid w:val="00E90F4D"/>
    <w:rsid w:val="00E91084"/>
    <w:rsid w:val="00E91220"/>
    <w:rsid w:val="00E9135C"/>
    <w:rsid w:val="00E91B14"/>
    <w:rsid w:val="00E92948"/>
    <w:rsid w:val="00E92BD9"/>
    <w:rsid w:val="00E9340C"/>
    <w:rsid w:val="00E93FF2"/>
    <w:rsid w:val="00E94654"/>
    <w:rsid w:val="00E94D75"/>
    <w:rsid w:val="00E94E1A"/>
    <w:rsid w:val="00E955CC"/>
    <w:rsid w:val="00E9567A"/>
    <w:rsid w:val="00E96083"/>
    <w:rsid w:val="00EA0410"/>
    <w:rsid w:val="00EA05F5"/>
    <w:rsid w:val="00EA0885"/>
    <w:rsid w:val="00EA1206"/>
    <w:rsid w:val="00EA39B1"/>
    <w:rsid w:val="00EA3FBB"/>
    <w:rsid w:val="00EA456A"/>
    <w:rsid w:val="00EA4839"/>
    <w:rsid w:val="00EA48C2"/>
    <w:rsid w:val="00EA4C7B"/>
    <w:rsid w:val="00EA4F38"/>
    <w:rsid w:val="00EA50E0"/>
    <w:rsid w:val="00EA50FD"/>
    <w:rsid w:val="00EA5B14"/>
    <w:rsid w:val="00EA6D1E"/>
    <w:rsid w:val="00EA7B9B"/>
    <w:rsid w:val="00EB16D7"/>
    <w:rsid w:val="00EB1901"/>
    <w:rsid w:val="00EB1BEA"/>
    <w:rsid w:val="00EB1FCE"/>
    <w:rsid w:val="00EB2612"/>
    <w:rsid w:val="00EB26E5"/>
    <w:rsid w:val="00EB29D5"/>
    <w:rsid w:val="00EB2E4C"/>
    <w:rsid w:val="00EB2F23"/>
    <w:rsid w:val="00EB3A3B"/>
    <w:rsid w:val="00EB3CDE"/>
    <w:rsid w:val="00EB40BB"/>
    <w:rsid w:val="00EB4861"/>
    <w:rsid w:val="00EB48B9"/>
    <w:rsid w:val="00EB559C"/>
    <w:rsid w:val="00EB5DC3"/>
    <w:rsid w:val="00EB622A"/>
    <w:rsid w:val="00EB6367"/>
    <w:rsid w:val="00EB7F7C"/>
    <w:rsid w:val="00EC03D6"/>
    <w:rsid w:val="00EC066B"/>
    <w:rsid w:val="00EC0D41"/>
    <w:rsid w:val="00EC125C"/>
    <w:rsid w:val="00EC1568"/>
    <w:rsid w:val="00EC2EC0"/>
    <w:rsid w:val="00EC2FB2"/>
    <w:rsid w:val="00EC3FAC"/>
    <w:rsid w:val="00EC40E6"/>
    <w:rsid w:val="00EC48BD"/>
    <w:rsid w:val="00EC56D1"/>
    <w:rsid w:val="00EC5C42"/>
    <w:rsid w:val="00EC5DAD"/>
    <w:rsid w:val="00EC7196"/>
    <w:rsid w:val="00EC723A"/>
    <w:rsid w:val="00EC7DBF"/>
    <w:rsid w:val="00EC7DEB"/>
    <w:rsid w:val="00ED0BF5"/>
    <w:rsid w:val="00ED13E8"/>
    <w:rsid w:val="00ED167F"/>
    <w:rsid w:val="00ED29E8"/>
    <w:rsid w:val="00ED3397"/>
    <w:rsid w:val="00ED421C"/>
    <w:rsid w:val="00ED47B6"/>
    <w:rsid w:val="00ED4958"/>
    <w:rsid w:val="00ED5084"/>
    <w:rsid w:val="00ED64C7"/>
    <w:rsid w:val="00ED6D41"/>
    <w:rsid w:val="00ED6ED3"/>
    <w:rsid w:val="00ED7166"/>
    <w:rsid w:val="00EE00F6"/>
    <w:rsid w:val="00EE0162"/>
    <w:rsid w:val="00EE0A5F"/>
    <w:rsid w:val="00EE184C"/>
    <w:rsid w:val="00EE1957"/>
    <w:rsid w:val="00EE1F59"/>
    <w:rsid w:val="00EE2259"/>
    <w:rsid w:val="00EE2DF3"/>
    <w:rsid w:val="00EE2F5A"/>
    <w:rsid w:val="00EE3380"/>
    <w:rsid w:val="00EE396F"/>
    <w:rsid w:val="00EE4B93"/>
    <w:rsid w:val="00EE4EC2"/>
    <w:rsid w:val="00EE4EFF"/>
    <w:rsid w:val="00EE56F8"/>
    <w:rsid w:val="00EE5799"/>
    <w:rsid w:val="00EE5BCC"/>
    <w:rsid w:val="00EE5E42"/>
    <w:rsid w:val="00EE6594"/>
    <w:rsid w:val="00EE659F"/>
    <w:rsid w:val="00EE6895"/>
    <w:rsid w:val="00EE6E50"/>
    <w:rsid w:val="00EE7B31"/>
    <w:rsid w:val="00EF02A2"/>
    <w:rsid w:val="00EF093B"/>
    <w:rsid w:val="00EF0B15"/>
    <w:rsid w:val="00EF0FE6"/>
    <w:rsid w:val="00EF1228"/>
    <w:rsid w:val="00EF1301"/>
    <w:rsid w:val="00EF18DA"/>
    <w:rsid w:val="00EF257B"/>
    <w:rsid w:val="00EF303D"/>
    <w:rsid w:val="00EF3111"/>
    <w:rsid w:val="00EF5215"/>
    <w:rsid w:val="00EF558F"/>
    <w:rsid w:val="00EF5849"/>
    <w:rsid w:val="00EF587A"/>
    <w:rsid w:val="00EF6527"/>
    <w:rsid w:val="00EF68DA"/>
    <w:rsid w:val="00EF7ED8"/>
    <w:rsid w:val="00F00284"/>
    <w:rsid w:val="00F014E1"/>
    <w:rsid w:val="00F015E8"/>
    <w:rsid w:val="00F01838"/>
    <w:rsid w:val="00F01B9C"/>
    <w:rsid w:val="00F01EA0"/>
    <w:rsid w:val="00F01F22"/>
    <w:rsid w:val="00F02A7D"/>
    <w:rsid w:val="00F02FF8"/>
    <w:rsid w:val="00F03240"/>
    <w:rsid w:val="00F03269"/>
    <w:rsid w:val="00F03976"/>
    <w:rsid w:val="00F03FF0"/>
    <w:rsid w:val="00F040C2"/>
    <w:rsid w:val="00F045C3"/>
    <w:rsid w:val="00F04AF2"/>
    <w:rsid w:val="00F04D8D"/>
    <w:rsid w:val="00F050C7"/>
    <w:rsid w:val="00F0563B"/>
    <w:rsid w:val="00F0595F"/>
    <w:rsid w:val="00F05F92"/>
    <w:rsid w:val="00F063E0"/>
    <w:rsid w:val="00F06DEC"/>
    <w:rsid w:val="00F06F3C"/>
    <w:rsid w:val="00F07134"/>
    <w:rsid w:val="00F07B31"/>
    <w:rsid w:val="00F10842"/>
    <w:rsid w:val="00F119FF"/>
    <w:rsid w:val="00F11B5C"/>
    <w:rsid w:val="00F11D2D"/>
    <w:rsid w:val="00F11E8A"/>
    <w:rsid w:val="00F11F83"/>
    <w:rsid w:val="00F1243B"/>
    <w:rsid w:val="00F14E91"/>
    <w:rsid w:val="00F15518"/>
    <w:rsid w:val="00F155DB"/>
    <w:rsid w:val="00F17334"/>
    <w:rsid w:val="00F17C1C"/>
    <w:rsid w:val="00F203F1"/>
    <w:rsid w:val="00F2048D"/>
    <w:rsid w:val="00F20D77"/>
    <w:rsid w:val="00F21593"/>
    <w:rsid w:val="00F217D2"/>
    <w:rsid w:val="00F21806"/>
    <w:rsid w:val="00F219ED"/>
    <w:rsid w:val="00F219F0"/>
    <w:rsid w:val="00F222B9"/>
    <w:rsid w:val="00F22326"/>
    <w:rsid w:val="00F22481"/>
    <w:rsid w:val="00F224A3"/>
    <w:rsid w:val="00F22EF9"/>
    <w:rsid w:val="00F2389B"/>
    <w:rsid w:val="00F23976"/>
    <w:rsid w:val="00F244D4"/>
    <w:rsid w:val="00F2468E"/>
    <w:rsid w:val="00F24BBD"/>
    <w:rsid w:val="00F25799"/>
    <w:rsid w:val="00F26523"/>
    <w:rsid w:val="00F30368"/>
    <w:rsid w:val="00F32DE2"/>
    <w:rsid w:val="00F33045"/>
    <w:rsid w:val="00F33C6E"/>
    <w:rsid w:val="00F3407C"/>
    <w:rsid w:val="00F34D9A"/>
    <w:rsid w:val="00F35001"/>
    <w:rsid w:val="00F35303"/>
    <w:rsid w:val="00F359D2"/>
    <w:rsid w:val="00F37A90"/>
    <w:rsid w:val="00F37C15"/>
    <w:rsid w:val="00F414E7"/>
    <w:rsid w:val="00F42448"/>
    <w:rsid w:val="00F42642"/>
    <w:rsid w:val="00F4275D"/>
    <w:rsid w:val="00F4326B"/>
    <w:rsid w:val="00F438DF"/>
    <w:rsid w:val="00F43E67"/>
    <w:rsid w:val="00F44BC9"/>
    <w:rsid w:val="00F455A6"/>
    <w:rsid w:val="00F4595A"/>
    <w:rsid w:val="00F460C3"/>
    <w:rsid w:val="00F4612A"/>
    <w:rsid w:val="00F46A23"/>
    <w:rsid w:val="00F46E31"/>
    <w:rsid w:val="00F478A4"/>
    <w:rsid w:val="00F50052"/>
    <w:rsid w:val="00F50B68"/>
    <w:rsid w:val="00F50C6E"/>
    <w:rsid w:val="00F51064"/>
    <w:rsid w:val="00F51106"/>
    <w:rsid w:val="00F51AB2"/>
    <w:rsid w:val="00F5280C"/>
    <w:rsid w:val="00F52B48"/>
    <w:rsid w:val="00F53E14"/>
    <w:rsid w:val="00F5550D"/>
    <w:rsid w:val="00F55645"/>
    <w:rsid w:val="00F567AC"/>
    <w:rsid w:val="00F574F1"/>
    <w:rsid w:val="00F57B56"/>
    <w:rsid w:val="00F57EC1"/>
    <w:rsid w:val="00F57F51"/>
    <w:rsid w:val="00F60003"/>
    <w:rsid w:val="00F601D7"/>
    <w:rsid w:val="00F60311"/>
    <w:rsid w:val="00F60844"/>
    <w:rsid w:val="00F61DB2"/>
    <w:rsid w:val="00F6238C"/>
    <w:rsid w:val="00F62B5A"/>
    <w:rsid w:val="00F63212"/>
    <w:rsid w:val="00F634AB"/>
    <w:rsid w:val="00F63667"/>
    <w:rsid w:val="00F6600B"/>
    <w:rsid w:val="00F66524"/>
    <w:rsid w:val="00F66925"/>
    <w:rsid w:val="00F67320"/>
    <w:rsid w:val="00F673BB"/>
    <w:rsid w:val="00F70526"/>
    <w:rsid w:val="00F712A2"/>
    <w:rsid w:val="00F71A94"/>
    <w:rsid w:val="00F72442"/>
    <w:rsid w:val="00F726FC"/>
    <w:rsid w:val="00F72DBB"/>
    <w:rsid w:val="00F73045"/>
    <w:rsid w:val="00F73169"/>
    <w:rsid w:val="00F7390C"/>
    <w:rsid w:val="00F73967"/>
    <w:rsid w:val="00F73E54"/>
    <w:rsid w:val="00F751F4"/>
    <w:rsid w:val="00F7575D"/>
    <w:rsid w:val="00F75A81"/>
    <w:rsid w:val="00F75C57"/>
    <w:rsid w:val="00F76557"/>
    <w:rsid w:val="00F76A7A"/>
    <w:rsid w:val="00F76C6A"/>
    <w:rsid w:val="00F7728A"/>
    <w:rsid w:val="00F7775B"/>
    <w:rsid w:val="00F77BAC"/>
    <w:rsid w:val="00F77EBE"/>
    <w:rsid w:val="00F811BA"/>
    <w:rsid w:val="00F81276"/>
    <w:rsid w:val="00F819BA"/>
    <w:rsid w:val="00F825F5"/>
    <w:rsid w:val="00F82A4D"/>
    <w:rsid w:val="00F82BB4"/>
    <w:rsid w:val="00F82E70"/>
    <w:rsid w:val="00F835DC"/>
    <w:rsid w:val="00F83789"/>
    <w:rsid w:val="00F852F5"/>
    <w:rsid w:val="00F8550A"/>
    <w:rsid w:val="00F855D3"/>
    <w:rsid w:val="00F857C0"/>
    <w:rsid w:val="00F86D15"/>
    <w:rsid w:val="00F86D73"/>
    <w:rsid w:val="00F875D4"/>
    <w:rsid w:val="00F87B98"/>
    <w:rsid w:val="00F87C6A"/>
    <w:rsid w:val="00F91578"/>
    <w:rsid w:val="00F9289B"/>
    <w:rsid w:val="00F928CC"/>
    <w:rsid w:val="00F939BE"/>
    <w:rsid w:val="00F95445"/>
    <w:rsid w:val="00F95462"/>
    <w:rsid w:val="00F95486"/>
    <w:rsid w:val="00F9585B"/>
    <w:rsid w:val="00F958F2"/>
    <w:rsid w:val="00F96497"/>
    <w:rsid w:val="00F965BD"/>
    <w:rsid w:val="00F967CF"/>
    <w:rsid w:val="00F9774B"/>
    <w:rsid w:val="00F97D59"/>
    <w:rsid w:val="00F97F39"/>
    <w:rsid w:val="00FA00C8"/>
    <w:rsid w:val="00FA0337"/>
    <w:rsid w:val="00FA1578"/>
    <w:rsid w:val="00FA1806"/>
    <w:rsid w:val="00FA1820"/>
    <w:rsid w:val="00FA1A7B"/>
    <w:rsid w:val="00FA3020"/>
    <w:rsid w:val="00FA3836"/>
    <w:rsid w:val="00FA4461"/>
    <w:rsid w:val="00FA5567"/>
    <w:rsid w:val="00FA56A6"/>
    <w:rsid w:val="00FA5DD2"/>
    <w:rsid w:val="00FA6410"/>
    <w:rsid w:val="00FA65F4"/>
    <w:rsid w:val="00FA68A2"/>
    <w:rsid w:val="00FA6928"/>
    <w:rsid w:val="00FA7C7C"/>
    <w:rsid w:val="00FB0000"/>
    <w:rsid w:val="00FB002B"/>
    <w:rsid w:val="00FB14F6"/>
    <w:rsid w:val="00FB15D1"/>
    <w:rsid w:val="00FB209C"/>
    <w:rsid w:val="00FB287B"/>
    <w:rsid w:val="00FB2E9A"/>
    <w:rsid w:val="00FB4152"/>
    <w:rsid w:val="00FB47AC"/>
    <w:rsid w:val="00FB5035"/>
    <w:rsid w:val="00FB5FFF"/>
    <w:rsid w:val="00FB6575"/>
    <w:rsid w:val="00FB6810"/>
    <w:rsid w:val="00FB6927"/>
    <w:rsid w:val="00FB6ADD"/>
    <w:rsid w:val="00FB7622"/>
    <w:rsid w:val="00FC062B"/>
    <w:rsid w:val="00FC0679"/>
    <w:rsid w:val="00FC1239"/>
    <w:rsid w:val="00FC1471"/>
    <w:rsid w:val="00FC1779"/>
    <w:rsid w:val="00FC1DFD"/>
    <w:rsid w:val="00FC228D"/>
    <w:rsid w:val="00FC2624"/>
    <w:rsid w:val="00FC2F31"/>
    <w:rsid w:val="00FC3155"/>
    <w:rsid w:val="00FC3560"/>
    <w:rsid w:val="00FC47A6"/>
    <w:rsid w:val="00FC4871"/>
    <w:rsid w:val="00FC4D81"/>
    <w:rsid w:val="00FC55A9"/>
    <w:rsid w:val="00FC56E3"/>
    <w:rsid w:val="00FC5E89"/>
    <w:rsid w:val="00FC5F73"/>
    <w:rsid w:val="00FC689F"/>
    <w:rsid w:val="00FC6DCE"/>
    <w:rsid w:val="00FC6F66"/>
    <w:rsid w:val="00FC732F"/>
    <w:rsid w:val="00FC748D"/>
    <w:rsid w:val="00FC7871"/>
    <w:rsid w:val="00FC7A31"/>
    <w:rsid w:val="00FC7F59"/>
    <w:rsid w:val="00FD0B40"/>
    <w:rsid w:val="00FD14E7"/>
    <w:rsid w:val="00FD189E"/>
    <w:rsid w:val="00FD1977"/>
    <w:rsid w:val="00FD24DC"/>
    <w:rsid w:val="00FD2F51"/>
    <w:rsid w:val="00FD2FE7"/>
    <w:rsid w:val="00FD3850"/>
    <w:rsid w:val="00FD40D6"/>
    <w:rsid w:val="00FD44CA"/>
    <w:rsid w:val="00FD4734"/>
    <w:rsid w:val="00FD542A"/>
    <w:rsid w:val="00FD56AE"/>
    <w:rsid w:val="00FD56C8"/>
    <w:rsid w:val="00FD6C79"/>
    <w:rsid w:val="00FD74A3"/>
    <w:rsid w:val="00FD75F4"/>
    <w:rsid w:val="00FD79F0"/>
    <w:rsid w:val="00FE0F2D"/>
    <w:rsid w:val="00FE15C2"/>
    <w:rsid w:val="00FE19A1"/>
    <w:rsid w:val="00FE1DB7"/>
    <w:rsid w:val="00FE25B2"/>
    <w:rsid w:val="00FE325A"/>
    <w:rsid w:val="00FE364D"/>
    <w:rsid w:val="00FE3BBC"/>
    <w:rsid w:val="00FE3F18"/>
    <w:rsid w:val="00FE446F"/>
    <w:rsid w:val="00FE4673"/>
    <w:rsid w:val="00FE48AC"/>
    <w:rsid w:val="00FE5322"/>
    <w:rsid w:val="00FE5644"/>
    <w:rsid w:val="00FE5B13"/>
    <w:rsid w:val="00FE5B9A"/>
    <w:rsid w:val="00FE5EBB"/>
    <w:rsid w:val="00FE65DA"/>
    <w:rsid w:val="00FE6A52"/>
    <w:rsid w:val="00FE6BF5"/>
    <w:rsid w:val="00FE6CEB"/>
    <w:rsid w:val="00FE7335"/>
    <w:rsid w:val="00FE7B5C"/>
    <w:rsid w:val="00FE7F27"/>
    <w:rsid w:val="00FF0245"/>
    <w:rsid w:val="00FF06F5"/>
    <w:rsid w:val="00FF096C"/>
    <w:rsid w:val="00FF0CA5"/>
    <w:rsid w:val="00FF125A"/>
    <w:rsid w:val="00FF18C5"/>
    <w:rsid w:val="00FF1B55"/>
    <w:rsid w:val="00FF2251"/>
    <w:rsid w:val="00FF2600"/>
    <w:rsid w:val="00FF2ABF"/>
    <w:rsid w:val="00FF376A"/>
    <w:rsid w:val="00FF42C5"/>
    <w:rsid w:val="00FF4980"/>
    <w:rsid w:val="00FF5E40"/>
    <w:rsid w:val="00FF7D31"/>
    <w:rsid w:val="012E006B"/>
    <w:rsid w:val="02301BA0"/>
    <w:rsid w:val="03BB621B"/>
    <w:rsid w:val="03F86655"/>
    <w:rsid w:val="04256A10"/>
    <w:rsid w:val="0482091E"/>
    <w:rsid w:val="049B5D13"/>
    <w:rsid w:val="05261FA8"/>
    <w:rsid w:val="058F3E16"/>
    <w:rsid w:val="059E4517"/>
    <w:rsid w:val="06C32BE9"/>
    <w:rsid w:val="08795465"/>
    <w:rsid w:val="09336C26"/>
    <w:rsid w:val="09885C67"/>
    <w:rsid w:val="0A210C27"/>
    <w:rsid w:val="0A857987"/>
    <w:rsid w:val="0AB9242F"/>
    <w:rsid w:val="0B0117C3"/>
    <w:rsid w:val="0B7713DE"/>
    <w:rsid w:val="0C41432A"/>
    <w:rsid w:val="0C945063"/>
    <w:rsid w:val="0E4E4810"/>
    <w:rsid w:val="0EC83DF4"/>
    <w:rsid w:val="0F0631A1"/>
    <w:rsid w:val="0F615434"/>
    <w:rsid w:val="10561AC8"/>
    <w:rsid w:val="107D61E9"/>
    <w:rsid w:val="10817822"/>
    <w:rsid w:val="12B439B8"/>
    <w:rsid w:val="142E2327"/>
    <w:rsid w:val="15A22D13"/>
    <w:rsid w:val="17012997"/>
    <w:rsid w:val="177064B5"/>
    <w:rsid w:val="181C2A9C"/>
    <w:rsid w:val="1971312F"/>
    <w:rsid w:val="19B617C7"/>
    <w:rsid w:val="19F2719F"/>
    <w:rsid w:val="1A0052F3"/>
    <w:rsid w:val="1A2B2663"/>
    <w:rsid w:val="1A6835FB"/>
    <w:rsid w:val="1CED3B44"/>
    <w:rsid w:val="1D63447A"/>
    <w:rsid w:val="1DDE559C"/>
    <w:rsid w:val="1DF55B75"/>
    <w:rsid w:val="1DFB41F3"/>
    <w:rsid w:val="1E2A528A"/>
    <w:rsid w:val="20BB0CC7"/>
    <w:rsid w:val="22121410"/>
    <w:rsid w:val="222A69A5"/>
    <w:rsid w:val="239F3750"/>
    <w:rsid w:val="23C93848"/>
    <w:rsid w:val="23FE3D53"/>
    <w:rsid w:val="24B03FCE"/>
    <w:rsid w:val="24D15177"/>
    <w:rsid w:val="251117D1"/>
    <w:rsid w:val="259F3221"/>
    <w:rsid w:val="25C833DE"/>
    <w:rsid w:val="25FB1BEB"/>
    <w:rsid w:val="261617D0"/>
    <w:rsid w:val="26D4769C"/>
    <w:rsid w:val="271F088F"/>
    <w:rsid w:val="285A1413"/>
    <w:rsid w:val="288A3E9D"/>
    <w:rsid w:val="28D55219"/>
    <w:rsid w:val="293314A5"/>
    <w:rsid w:val="2A105610"/>
    <w:rsid w:val="2A1F5C2B"/>
    <w:rsid w:val="2AC2154E"/>
    <w:rsid w:val="2B4C546E"/>
    <w:rsid w:val="2BF44DBA"/>
    <w:rsid w:val="2C6E5BBA"/>
    <w:rsid w:val="2D996801"/>
    <w:rsid w:val="2DFC6E80"/>
    <w:rsid w:val="2E69342F"/>
    <w:rsid w:val="2EC71DCC"/>
    <w:rsid w:val="2EEE3AA5"/>
    <w:rsid w:val="305067E4"/>
    <w:rsid w:val="30A23FDC"/>
    <w:rsid w:val="30DF5E47"/>
    <w:rsid w:val="31CC5A59"/>
    <w:rsid w:val="31EA4A06"/>
    <w:rsid w:val="34D93E9B"/>
    <w:rsid w:val="351B7520"/>
    <w:rsid w:val="36055FB1"/>
    <w:rsid w:val="364A5420"/>
    <w:rsid w:val="366B6E76"/>
    <w:rsid w:val="368850A9"/>
    <w:rsid w:val="38FB754C"/>
    <w:rsid w:val="391E17AF"/>
    <w:rsid w:val="393E3C6D"/>
    <w:rsid w:val="3A5D4A17"/>
    <w:rsid w:val="3AA2053D"/>
    <w:rsid w:val="3B4C01AE"/>
    <w:rsid w:val="3B916968"/>
    <w:rsid w:val="3D4170A0"/>
    <w:rsid w:val="3F5210C3"/>
    <w:rsid w:val="3FF40F11"/>
    <w:rsid w:val="417D6CE1"/>
    <w:rsid w:val="41C5150E"/>
    <w:rsid w:val="423441AD"/>
    <w:rsid w:val="43EF10D7"/>
    <w:rsid w:val="43F97DEA"/>
    <w:rsid w:val="44A33322"/>
    <w:rsid w:val="457110FB"/>
    <w:rsid w:val="46A51AD1"/>
    <w:rsid w:val="471903AE"/>
    <w:rsid w:val="474B6403"/>
    <w:rsid w:val="48EB5FAE"/>
    <w:rsid w:val="49CD4198"/>
    <w:rsid w:val="4A2F5A7C"/>
    <w:rsid w:val="4BA778C2"/>
    <w:rsid w:val="4D342DD9"/>
    <w:rsid w:val="4D706CCF"/>
    <w:rsid w:val="4DAC067B"/>
    <w:rsid w:val="4E464BB3"/>
    <w:rsid w:val="4E875430"/>
    <w:rsid w:val="4FBB17F0"/>
    <w:rsid w:val="4FE01B96"/>
    <w:rsid w:val="506E739A"/>
    <w:rsid w:val="51A63C91"/>
    <w:rsid w:val="532F217E"/>
    <w:rsid w:val="53732C9F"/>
    <w:rsid w:val="539D0613"/>
    <w:rsid w:val="544F5081"/>
    <w:rsid w:val="555D4408"/>
    <w:rsid w:val="55B85BCE"/>
    <w:rsid w:val="56E42104"/>
    <w:rsid w:val="57024F9A"/>
    <w:rsid w:val="573B60E6"/>
    <w:rsid w:val="57A022D1"/>
    <w:rsid w:val="58614C3C"/>
    <w:rsid w:val="58670C2C"/>
    <w:rsid w:val="59727000"/>
    <w:rsid w:val="5A274D1B"/>
    <w:rsid w:val="5ADF0A95"/>
    <w:rsid w:val="5C104619"/>
    <w:rsid w:val="5DBA5377"/>
    <w:rsid w:val="5F750A49"/>
    <w:rsid w:val="5FF06A68"/>
    <w:rsid w:val="606E2944"/>
    <w:rsid w:val="60B01AC0"/>
    <w:rsid w:val="616A1C29"/>
    <w:rsid w:val="61A874E0"/>
    <w:rsid w:val="620531C8"/>
    <w:rsid w:val="620A3D07"/>
    <w:rsid w:val="628D63D0"/>
    <w:rsid w:val="642A6B4E"/>
    <w:rsid w:val="646621C4"/>
    <w:rsid w:val="648B5C7E"/>
    <w:rsid w:val="650642CC"/>
    <w:rsid w:val="6602326A"/>
    <w:rsid w:val="667103D7"/>
    <w:rsid w:val="66721819"/>
    <w:rsid w:val="66DD4B37"/>
    <w:rsid w:val="67191E6F"/>
    <w:rsid w:val="679F0C40"/>
    <w:rsid w:val="69EA02D1"/>
    <w:rsid w:val="6A1874B5"/>
    <w:rsid w:val="6A360751"/>
    <w:rsid w:val="6ABC23C8"/>
    <w:rsid w:val="6C820C64"/>
    <w:rsid w:val="6CD23598"/>
    <w:rsid w:val="705A3221"/>
    <w:rsid w:val="71435C6E"/>
    <w:rsid w:val="715A44E7"/>
    <w:rsid w:val="73062A19"/>
    <w:rsid w:val="737360E5"/>
    <w:rsid w:val="739C4025"/>
    <w:rsid w:val="73AD23C1"/>
    <w:rsid w:val="73E05929"/>
    <w:rsid w:val="75247817"/>
    <w:rsid w:val="754051A3"/>
    <w:rsid w:val="77D5198C"/>
    <w:rsid w:val="780505F7"/>
    <w:rsid w:val="79BB2664"/>
    <w:rsid w:val="7A2F21D6"/>
    <w:rsid w:val="7B3F44EB"/>
    <w:rsid w:val="7B7F279F"/>
    <w:rsid w:val="7BE459F5"/>
    <w:rsid w:val="7D0669A2"/>
    <w:rsid w:val="7D4F0027"/>
    <w:rsid w:val="7DF0314D"/>
    <w:rsid w:val="7E0B39DD"/>
    <w:rsid w:val="7EDC3A7E"/>
    <w:rsid w:val="7F10073A"/>
    <w:rsid w:val="7F2D7679"/>
    <w:rsid w:val="7FC667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直线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500" w:lineRule="exact"/>
      <w:ind w:firstLine="560" w:firstLineChars="200"/>
      <w:outlineLvl w:val="0"/>
    </w:pPr>
    <w:rPr>
      <w:rFonts w:ascii="宋体" w:hAnsi="宋体"/>
      <w:bCs/>
      <w:sz w:val="28"/>
    </w:rPr>
  </w:style>
  <w:style w:type="paragraph" w:styleId="4">
    <w:name w:val="heading 2"/>
    <w:basedOn w:val="1"/>
    <w:next w:val="1"/>
    <w:link w:val="1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26"/>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spacing w:line="500" w:lineRule="exact"/>
      <w:jc w:val="center"/>
      <w:outlineLvl w:val="3"/>
    </w:pPr>
    <w:rPr>
      <w:sz w:val="28"/>
    </w:rPr>
  </w:style>
  <w:style w:type="paragraph" w:styleId="6">
    <w:name w:val="heading 5"/>
    <w:basedOn w:val="1"/>
    <w:next w:val="1"/>
    <w:qFormat/>
    <w:uiPriority w:val="0"/>
    <w:pPr>
      <w:keepNext/>
      <w:outlineLvl w:val="4"/>
    </w:pPr>
    <w:rPr>
      <w:color w:val="000000"/>
      <w:sz w:val="28"/>
    </w:rPr>
  </w:style>
  <w:style w:type="character" w:default="1" w:styleId="41">
    <w:name w:val="Default Paragraph Font"/>
    <w:unhideWhenUsed/>
    <w:uiPriority w:val="1"/>
  </w:style>
  <w:style w:type="table" w:default="1" w:styleId="38">
    <w:name w:val="Normal Table"/>
    <w:unhideWhenUsed/>
    <w:qFormat/>
    <w:uiPriority w:val="99"/>
    <w:tblPr>
      <w:tblLayout w:type="fixed"/>
      <w:tblCellMar>
        <w:top w:w="0" w:type="dxa"/>
        <w:left w:w="108" w:type="dxa"/>
        <w:bottom w:w="0" w:type="dxa"/>
        <w:right w:w="108" w:type="dxa"/>
      </w:tblCellMar>
    </w:tblPr>
  </w:style>
  <w:style w:type="paragraph" w:styleId="7">
    <w:name w:val="List 3"/>
    <w:basedOn w:val="1"/>
    <w:qFormat/>
    <w:uiPriority w:val="0"/>
    <w:pPr>
      <w:ind w:left="100" w:leftChars="400" w:hanging="200" w:hangingChars="200"/>
    </w:pPr>
  </w:style>
  <w:style w:type="paragraph" w:styleId="8">
    <w:name w:val="toc 7"/>
    <w:basedOn w:val="1"/>
    <w:next w:val="1"/>
    <w:semiHidden/>
    <w:qFormat/>
    <w:uiPriority w:val="0"/>
    <w:pPr>
      <w:ind w:left="1260"/>
      <w:jc w:val="left"/>
    </w:pPr>
    <w:rPr>
      <w:sz w:val="18"/>
      <w:szCs w:val="18"/>
    </w:rPr>
  </w:style>
  <w:style w:type="paragraph" w:styleId="9">
    <w:name w:val="Normal Indent"/>
    <w:basedOn w:val="1"/>
    <w:link w:val="142"/>
    <w:qFormat/>
    <w:uiPriority w:val="0"/>
    <w:pPr>
      <w:ind w:firstLine="420" w:firstLineChars="200"/>
    </w:pPr>
    <w:rPr>
      <w:szCs w:val="20"/>
    </w:rPr>
  </w:style>
  <w:style w:type="paragraph" w:styleId="10">
    <w:name w:val="Document Map"/>
    <w:basedOn w:val="1"/>
    <w:semiHidden/>
    <w:qFormat/>
    <w:uiPriority w:val="0"/>
    <w:pPr>
      <w:shd w:val="clear" w:color="auto" w:fill="000080"/>
    </w:pPr>
  </w:style>
  <w:style w:type="paragraph" w:styleId="11">
    <w:name w:val="annotation text"/>
    <w:basedOn w:val="1"/>
    <w:link w:val="139"/>
    <w:qFormat/>
    <w:uiPriority w:val="99"/>
    <w:pPr>
      <w:jc w:val="left"/>
    </w:pPr>
  </w:style>
  <w:style w:type="paragraph" w:styleId="12">
    <w:name w:val="Body Text"/>
    <w:basedOn w:val="1"/>
    <w:next w:val="13"/>
    <w:link w:val="146"/>
    <w:qFormat/>
    <w:uiPriority w:val="0"/>
    <w:rPr>
      <w:sz w:val="24"/>
    </w:rPr>
  </w:style>
  <w:style w:type="paragraph" w:customStyle="1" w:styleId="13">
    <w:name w:val="xl27"/>
    <w:basedOn w:val="1"/>
    <w:qFormat/>
    <w:uiPriority w:val="0"/>
    <w:pPr>
      <w:widowControl/>
      <w:spacing w:before="100" w:beforeAutospacing="1" w:after="100" w:afterAutospacing="1"/>
      <w:jc w:val="left"/>
    </w:pPr>
    <w:rPr>
      <w:rFonts w:ascii="Arial Unicode MS" w:hAnsi="Arial Unicode MS"/>
      <w:kern w:val="0"/>
      <w:sz w:val="20"/>
      <w:szCs w:val="20"/>
    </w:rPr>
  </w:style>
  <w:style w:type="paragraph" w:styleId="14">
    <w:name w:val="Body Text Indent"/>
    <w:basedOn w:val="1"/>
    <w:link w:val="119"/>
    <w:qFormat/>
    <w:uiPriority w:val="0"/>
    <w:pPr>
      <w:ind w:left="2296" w:hanging="2296"/>
    </w:pPr>
    <w:rPr>
      <w:sz w:val="32"/>
      <w:szCs w:val="20"/>
    </w:rPr>
  </w:style>
  <w:style w:type="paragraph" w:styleId="15">
    <w:name w:val="Block Text"/>
    <w:basedOn w:val="1"/>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ascii="宋体" w:hAnsi="Courier New" w:cs="Courier New"/>
      <w:szCs w:val="21"/>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qFormat/>
    <w:uiPriority w:val="0"/>
    <w:rPr>
      <w:rFonts w:ascii="宋体"/>
      <w:sz w:val="28"/>
      <w:szCs w:val="20"/>
    </w:rPr>
  </w:style>
  <w:style w:type="paragraph" w:styleId="21">
    <w:name w:val="Body Text Indent 2"/>
    <w:basedOn w:val="1"/>
    <w:qFormat/>
    <w:uiPriority w:val="0"/>
    <w:pPr>
      <w:spacing w:line="500" w:lineRule="exact"/>
      <w:ind w:firstLine="549" w:firstLineChars="200"/>
    </w:pPr>
    <w:rPr>
      <w:rFonts w:ascii="宋体" w:hAnsi="宋体"/>
      <w:sz w:val="28"/>
    </w:rPr>
  </w:style>
  <w:style w:type="paragraph" w:styleId="22">
    <w:name w:val="Balloon Text"/>
    <w:basedOn w:val="1"/>
    <w:semiHidden/>
    <w:qFormat/>
    <w:uiPriority w:val="0"/>
    <w:rPr>
      <w:sz w:val="18"/>
      <w:szCs w:val="18"/>
    </w:rPr>
  </w:style>
  <w:style w:type="paragraph" w:styleId="23">
    <w:name w:val="footer"/>
    <w:basedOn w:val="1"/>
    <w:link w:val="147"/>
    <w:qFormat/>
    <w:uiPriority w:val="99"/>
    <w:pPr>
      <w:tabs>
        <w:tab w:val="center" w:pos="4153"/>
        <w:tab w:val="right" w:pos="8306"/>
      </w:tabs>
      <w:snapToGrid w:val="0"/>
      <w:jc w:val="left"/>
    </w:pPr>
    <w:rPr>
      <w:sz w:val="18"/>
      <w:szCs w:val="18"/>
    </w:rPr>
  </w:style>
  <w:style w:type="paragraph" w:styleId="24">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toc 4"/>
    <w:basedOn w:val="1"/>
    <w:next w:val="1"/>
    <w:semiHidden/>
    <w:qFormat/>
    <w:uiPriority w:val="0"/>
    <w:pPr>
      <w:ind w:left="630"/>
      <w:jc w:val="left"/>
    </w:pPr>
    <w:rPr>
      <w:sz w:val="18"/>
      <w:szCs w:val="18"/>
    </w:rPr>
  </w:style>
  <w:style w:type="paragraph" w:styleId="27">
    <w:name w:val="List"/>
    <w:basedOn w:val="1"/>
    <w:qFormat/>
    <w:uiPriority w:val="0"/>
    <w:pPr>
      <w:ind w:left="200" w:hanging="200" w:hangingChars="200"/>
    </w:pPr>
  </w:style>
  <w:style w:type="paragraph" w:styleId="28">
    <w:name w:val="toc 6"/>
    <w:basedOn w:val="1"/>
    <w:next w:val="1"/>
    <w:semiHidden/>
    <w:qFormat/>
    <w:uiPriority w:val="0"/>
    <w:pPr>
      <w:ind w:left="1050"/>
      <w:jc w:val="left"/>
    </w:pPr>
    <w:rPr>
      <w:sz w:val="18"/>
      <w:szCs w:val="18"/>
    </w:rPr>
  </w:style>
  <w:style w:type="paragraph" w:styleId="29">
    <w:name w:val="Body Text Indent 3"/>
    <w:basedOn w:val="1"/>
    <w:qFormat/>
    <w:uiPriority w:val="0"/>
    <w:pPr>
      <w:spacing w:line="440" w:lineRule="exact"/>
      <w:ind w:left="71" w:leftChars="34" w:firstLine="560" w:firstLineChars="200"/>
    </w:pPr>
    <w:rPr>
      <w:rFonts w:ascii="黑体"/>
      <w:bCs/>
      <w:sz w:val="28"/>
    </w:rPr>
  </w:style>
  <w:style w:type="paragraph" w:styleId="30">
    <w:name w:val="toc 2"/>
    <w:basedOn w:val="1"/>
    <w:next w:val="1"/>
    <w:qFormat/>
    <w:uiPriority w:val="39"/>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Body Text 2"/>
    <w:basedOn w:val="1"/>
    <w:qFormat/>
    <w:uiPriority w:val="0"/>
    <w:rPr>
      <w:color w:val="000000"/>
      <w:sz w:val="28"/>
      <w:szCs w:val="28"/>
    </w:rPr>
  </w:style>
  <w:style w:type="paragraph" w:styleId="33">
    <w:name w:val="HTML Preformatted"/>
    <w:basedOn w:val="1"/>
    <w:link w:val="1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5">
    <w:name w:val="annotation subject"/>
    <w:basedOn w:val="11"/>
    <w:next w:val="11"/>
    <w:semiHidden/>
    <w:qFormat/>
    <w:uiPriority w:val="0"/>
    <w:rPr>
      <w:b/>
      <w:bCs/>
    </w:rPr>
  </w:style>
  <w:style w:type="paragraph" w:styleId="36">
    <w:name w:val="Body Text First Indent"/>
    <w:basedOn w:val="12"/>
    <w:link w:val="121"/>
    <w:qFormat/>
    <w:uiPriority w:val="0"/>
    <w:pPr>
      <w:spacing w:after="120"/>
      <w:ind w:firstLine="420" w:firstLineChars="100"/>
    </w:pPr>
    <w:rPr>
      <w:sz w:val="21"/>
    </w:rPr>
  </w:style>
  <w:style w:type="paragraph" w:styleId="37">
    <w:name w:val="Body Text First Indent 2"/>
    <w:basedOn w:val="14"/>
    <w:link w:val="127"/>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0">
    <w:name w:val="Table Classic 1"/>
    <w:basedOn w:val="38"/>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Emphasis"/>
    <w:qFormat/>
    <w:uiPriority w:val="0"/>
    <w:rPr>
      <w:color w:val="CC0033"/>
    </w:rPr>
  </w:style>
  <w:style w:type="character" w:styleId="45">
    <w:name w:val="Hyperlink"/>
    <w:qFormat/>
    <w:uiPriority w:val="99"/>
    <w:rPr>
      <w:color w:val="261CDC"/>
      <w:u w:val="single"/>
    </w:rPr>
  </w:style>
  <w:style w:type="character" w:styleId="46">
    <w:name w:val="annotation reference"/>
    <w:semiHidden/>
    <w:qFormat/>
    <w:uiPriority w:val="0"/>
    <w:rPr>
      <w:sz w:val="21"/>
      <w:szCs w:val="21"/>
    </w:rPr>
  </w:style>
  <w:style w:type="paragraph" w:customStyle="1" w:styleId="47">
    <w:name w:val="表格正文"/>
    <w:basedOn w:val="1"/>
    <w:link w:val="117"/>
    <w:qFormat/>
    <w:uiPriority w:val="0"/>
    <w:pPr>
      <w:adjustRightInd w:val="0"/>
      <w:snapToGrid w:val="0"/>
      <w:jc w:val="center"/>
      <w:textAlignment w:val="baseline"/>
    </w:pPr>
    <w:rPr>
      <w:rFonts w:ascii="CG Times (W1)" w:hAnsi="CG Times (W1)"/>
      <w:b/>
      <w:kern w:val="0"/>
      <w:szCs w:val="20"/>
    </w:rPr>
  </w:style>
  <w:style w:type="paragraph" w:customStyle="1" w:styleId="48">
    <w:name w:val="表格"/>
    <w:basedOn w:val="1"/>
    <w:link w:val="118"/>
    <w:qFormat/>
    <w:uiPriority w:val="0"/>
    <w:pPr>
      <w:jc w:val="center"/>
    </w:pPr>
    <w:rPr>
      <w:sz w:val="24"/>
    </w:rPr>
  </w:style>
  <w:style w:type="paragraph" w:customStyle="1" w:styleId="49">
    <w:name w:val="胡正文"/>
    <w:basedOn w:val="1"/>
    <w:link w:val="122"/>
    <w:qFormat/>
    <w:uiPriority w:val="0"/>
    <w:pPr>
      <w:spacing w:line="360" w:lineRule="auto"/>
      <w:ind w:firstLine="200" w:firstLineChars="200"/>
      <w:jc w:val="left"/>
    </w:pPr>
    <w:rPr>
      <w:rFonts w:ascii="宋体" w:hAnsi="宋体"/>
      <w:sz w:val="24"/>
      <w:szCs w:val="28"/>
    </w:rPr>
  </w:style>
  <w:style w:type="paragraph" w:customStyle="1" w:styleId="50">
    <w:name w:val="报告表正文 Char"/>
    <w:basedOn w:val="1"/>
    <w:link w:val="123"/>
    <w:qFormat/>
    <w:uiPriority w:val="0"/>
    <w:pPr>
      <w:spacing w:line="360" w:lineRule="auto"/>
      <w:ind w:firstLine="200" w:firstLineChars="200"/>
    </w:pPr>
    <w:rPr>
      <w:rFonts w:eastAsia="楷体_GB2312"/>
      <w:sz w:val="24"/>
    </w:rPr>
  </w:style>
  <w:style w:type="paragraph" w:customStyle="1" w:styleId="51">
    <w:name w:val="样式 表头 + (西文) 黑体"/>
    <w:basedOn w:val="1"/>
    <w:link w:val="125"/>
    <w:qFormat/>
    <w:uiPriority w:val="0"/>
    <w:pPr>
      <w:jc w:val="center"/>
    </w:pPr>
    <w:rPr>
      <w:b/>
      <w:snapToGrid w:val="0"/>
      <w:kern w:val="0"/>
      <w:szCs w:val="21"/>
    </w:rPr>
  </w:style>
  <w:style w:type="paragraph" w:customStyle="1" w:styleId="52">
    <w:name w:val="表文"/>
    <w:basedOn w:val="12"/>
    <w:next w:val="9"/>
    <w:link w:val="128"/>
    <w:qFormat/>
    <w:uiPriority w:val="0"/>
    <w:pPr>
      <w:spacing w:line="360" w:lineRule="auto"/>
      <w:jc w:val="center"/>
    </w:pPr>
    <w:rPr>
      <w:rFonts w:eastAsia="仿宋_GB2312"/>
      <w:szCs w:val="20"/>
    </w:rPr>
  </w:style>
  <w:style w:type="paragraph" w:customStyle="1" w:styleId="53">
    <w:name w:val="表格标题1"/>
    <w:basedOn w:val="1"/>
    <w:link w:val="129"/>
    <w:qFormat/>
    <w:uiPriority w:val="0"/>
    <w:pPr>
      <w:jc w:val="center"/>
    </w:pPr>
    <w:rPr>
      <w:b/>
      <w:szCs w:val="20"/>
    </w:rPr>
  </w:style>
  <w:style w:type="paragraph" w:customStyle="1" w:styleId="54">
    <w:name w:val="样式1"/>
    <w:basedOn w:val="1"/>
    <w:link w:val="131"/>
    <w:qFormat/>
    <w:uiPriority w:val="0"/>
    <w:pPr>
      <w:adjustRightInd w:val="0"/>
      <w:spacing w:line="480" w:lineRule="atLeast"/>
      <w:ind w:firstLine="539"/>
    </w:pPr>
    <w:rPr>
      <w:rFonts w:eastAsia="仿宋_GB2312"/>
      <w:kern w:val="0"/>
      <w:sz w:val="28"/>
      <w:szCs w:val="20"/>
    </w:rPr>
  </w:style>
  <w:style w:type="paragraph" w:customStyle="1" w:styleId="55">
    <w:name w:val="表格 32"/>
    <w:basedOn w:val="1"/>
    <w:link w:val="136"/>
    <w:qFormat/>
    <w:uiPriority w:val="0"/>
    <w:pPr>
      <w:autoSpaceDE w:val="0"/>
      <w:autoSpaceDN w:val="0"/>
      <w:adjustRightInd w:val="0"/>
      <w:jc w:val="center"/>
      <w:textAlignment w:val="baseline"/>
    </w:pPr>
    <w:rPr>
      <w:rFonts w:ascii="宋体" w:hAnsi="Impact"/>
      <w:kern w:val="24"/>
      <w:sz w:val="24"/>
      <w:szCs w:val="20"/>
    </w:rPr>
  </w:style>
  <w:style w:type="paragraph" w:customStyle="1" w:styleId="56">
    <w:name w:val="表内格式"/>
    <w:basedOn w:val="1"/>
    <w:next w:val="50"/>
    <w:link w:val="141"/>
    <w:qFormat/>
    <w:uiPriority w:val="0"/>
    <w:pPr>
      <w:jc w:val="center"/>
    </w:pPr>
    <w:rPr>
      <w:rFonts w:eastAsia="楷体_GB2312"/>
      <w:sz w:val="18"/>
      <w:szCs w:val="18"/>
    </w:rPr>
  </w:style>
  <w:style w:type="paragraph" w:customStyle="1" w:styleId="57">
    <w:name w:val="Date1"/>
    <w:basedOn w:val="1"/>
    <w:next w:val="1"/>
    <w:qFormat/>
    <w:uiPriority w:val="0"/>
    <w:pPr>
      <w:adjustRightInd w:val="0"/>
      <w:textAlignment w:val="baseline"/>
    </w:pPr>
    <w:rPr>
      <w:szCs w:val="20"/>
    </w:rPr>
  </w:style>
  <w:style w:type="paragraph" w:customStyle="1" w:styleId="58">
    <w:name w:val="Char Char Char"/>
    <w:basedOn w:val="1"/>
    <w:qFormat/>
    <w:uiPriority w:val="0"/>
    <w:rPr>
      <w:sz w:val="24"/>
    </w:rPr>
  </w:style>
  <w:style w:type="paragraph" w:customStyle="1" w:styleId="59">
    <w:name w:val="默认段落字体 Para Char"/>
    <w:basedOn w:val="1"/>
    <w:qFormat/>
    <w:uiPriority w:val="0"/>
    <w:pPr>
      <w:spacing w:line="360" w:lineRule="auto"/>
      <w:ind w:firstLine="200" w:firstLineChars="200"/>
    </w:pPr>
  </w:style>
  <w:style w:type="paragraph" w:customStyle="1" w:styleId="60">
    <w:name w:val="Char"/>
    <w:basedOn w:val="1"/>
    <w:qFormat/>
    <w:uiPriority w:val="0"/>
  </w:style>
  <w:style w:type="paragraph" w:customStyle="1" w:styleId="61">
    <w:name w:val="Char2"/>
    <w:basedOn w:val="1"/>
    <w:qFormat/>
    <w:uiPriority w:val="0"/>
    <w:pPr>
      <w:spacing w:line="360" w:lineRule="auto"/>
      <w:ind w:firstLine="200" w:firstLineChars="200"/>
    </w:pPr>
    <w:rPr>
      <w:rFonts w:ascii="宋体" w:hAnsi="宋体" w:cs="宋体"/>
      <w:sz w:val="24"/>
    </w:rPr>
  </w:style>
  <w:style w:type="paragraph" w:customStyle="1" w:styleId="62">
    <w:name w:val="默认段落字体 Para Char Char Char Char"/>
    <w:basedOn w:val="1"/>
    <w:qFormat/>
    <w:uiPriority w:val="0"/>
    <w:rPr>
      <w:sz w:val="24"/>
    </w:rPr>
  </w:style>
  <w:style w:type="paragraph" w:customStyle="1" w:styleId="63">
    <w:name w:val="样式 正文文本缩进 + 首行缩进:  2 字符"/>
    <w:basedOn w:val="14"/>
    <w:qFormat/>
    <w:uiPriority w:val="0"/>
    <w:pPr>
      <w:spacing w:line="440" w:lineRule="exact"/>
      <w:ind w:left="0" w:firstLine="200" w:firstLineChars="200"/>
    </w:pPr>
    <w:rPr>
      <w:sz w:val="24"/>
    </w:rPr>
  </w:style>
  <w:style w:type="paragraph" w:customStyle="1" w:styleId="64">
    <w:name w:val="题注图"/>
    <w:basedOn w:val="1"/>
    <w:next w:val="1"/>
    <w:qFormat/>
    <w:uiPriority w:val="0"/>
    <w:pPr>
      <w:adjustRightInd w:val="0"/>
      <w:spacing w:line="360" w:lineRule="auto"/>
      <w:ind w:firstLine="454"/>
      <w:jc w:val="center"/>
      <w:textAlignment w:val="baseline"/>
    </w:pPr>
    <w:rPr>
      <w:kern w:val="0"/>
      <w:sz w:val="28"/>
      <w:szCs w:val="20"/>
    </w:rPr>
  </w:style>
  <w:style w:type="paragraph" w:customStyle="1" w:styleId="65">
    <w:name w:val="Char Char2 Char Char Char Char"/>
    <w:basedOn w:val="1"/>
    <w:semiHidden/>
    <w:qFormat/>
    <w:uiPriority w:val="0"/>
    <w:pPr>
      <w:widowControl/>
      <w:adjustRightInd w:val="0"/>
      <w:snapToGrid w:val="0"/>
      <w:jc w:val="left"/>
    </w:pPr>
    <w:rPr>
      <w:rFonts w:ascii="新宋体" w:hAnsi="新宋体"/>
      <w:b/>
      <w:kern w:val="0"/>
      <w:sz w:val="24"/>
    </w:rPr>
  </w:style>
  <w:style w:type="paragraph" w:customStyle="1" w:styleId="66">
    <w:name w:val="简单回函地址"/>
    <w:basedOn w:val="1"/>
    <w:qFormat/>
    <w:uiPriority w:val="0"/>
    <w:rPr>
      <w:sz w:val="24"/>
      <w:szCs w:val="20"/>
    </w:rPr>
  </w:style>
  <w:style w:type="paragraph" w:customStyle="1" w:styleId="67">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8">
    <w:name w:val="Char Char1 Char Char Char Char"/>
    <w:basedOn w:val="1"/>
    <w:qFormat/>
    <w:uiPriority w:val="0"/>
    <w:pPr>
      <w:spacing w:afterLines="50" w:line="560" w:lineRule="exact"/>
    </w:pPr>
    <w:rPr>
      <w:szCs w:val="20"/>
    </w:rPr>
  </w:style>
  <w:style w:type="paragraph" w:customStyle="1" w:styleId="69">
    <w:name w:val="p15"/>
    <w:basedOn w:val="1"/>
    <w:qFormat/>
    <w:uiPriority w:val="0"/>
    <w:pPr>
      <w:widowControl/>
      <w:spacing w:line="560" w:lineRule="atLeast"/>
      <w:ind w:firstLine="570"/>
    </w:pPr>
    <w:rPr>
      <w:rFonts w:ascii="宋体" w:hAnsi="宋体" w:cs="宋体"/>
      <w:kern w:val="0"/>
      <w:sz w:val="28"/>
      <w:szCs w:val="28"/>
    </w:rPr>
  </w:style>
  <w:style w:type="paragraph" w:customStyle="1" w:styleId="70">
    <w:name w:val="表格单位"/>
    <w:basedOn w:val="1"/>
    <w:qFormat/>
    <w:uiPriority w:val="0"/>
    <w:pPr>
      <w:jc w:val="right"/>
    </w:pPr>
  </w:style>
  <w:style w:type="paragraph" w:customStyle="1" w:styleId="71">
    <w:name w:val="TOC 标题1"/>
    <w:basedOn w:val="3"/>
    <w:next w:val="1"/>
    <w:qFormat/>
    <w:uiPriority w:val="39"/>
    <w:pPr>
      <w:keepLines/>
      <w:spacing w:before="340" w:after="330" w:line="578" w:lineRule="auto"/>
      <w:ind w:firstLine="0" w:firstLineChars="0"/>
      <w:outlineLvl w:val="9"/>
    </w:pPr>
    <w:rPr>
      <w:rFonts w:ascii="Times New Roman" w:hAnsi="Times New Roman"/>
      <w:b/>
      <w:kern w:val="44"/>
      <w:sz w:val="44"/>
      <w:szCs w:val="44"/>
    </w:rPr>
  </w:style>
  <w:style w:type="paragraph" w:customStyle="1" w:styleId="72">
    <w:name w:val="报告书表格"/>
    <w:basedOn w:val="1"/>
    <w:qFormat/>
    <w:uiPriority w:val="0"/>
    <w:pPr>
      <w:adjustRightInd w:val="0"/>
      <w:spacing w:before="60" w:after="60" w:line="240" w:lineRule="atLeast"/>
      <w:jc w:val="center"/>
      <w:textAlignment w:val="baseline"/>
    </w:pPr>
    <w:rPr>
      <w:kern w:val="0"/>
      <w:sz w:val="20"/>
      <w:szCs w:val="20"/>
    </w:rPr>
  </w:style>
  <w:style w:type="paragraph" w:customStyle="1" w:styleId="73">
    <w:name w:val="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74">
    <w:name w:val="zhang正文"/>
    <w:basedOn w:val="14"/>
    <w:qFormat/>
    <w:uiPriority w:val="0"/>
    <w:pPr>
      <w:autoSpaceDE w:val="0"/>
      <w:autoSpaceDN w:val="0"/>
      <w:adjustRightInd w:val="0"/>
      <w:snapToGrid w:val="0"/>
      <w:spacing w:line="500" w:lineRule="exact"/>
      <w:ind w:left="0" w:firstLine="539"/>
      <w:textAlignment w:val="baseline"/>
    </w:pPr>
    <w:rPr>
      <w:rFonts w:eastAsia="楷体_GB2312"/>
      <w:kern w:val="0"/>
      <w:sz w:val="28"/>
    </w:rPr>
  </w:style>
  <w:style w:type="paragraph" w:customStyle="1" w:styleId="75">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76">
    <w:name w:val="xl54"/>
    <w:basedOn w:val="1"/>
    <w:qFormat/>
    <w:uiPriority w:val="0"/>
    <w:pPr>
      <w:widowControl/>
      <w:pBdr>
        <w:left w:val="single" w:color="auto" w:sz="4" w:space="0"/>
      </w:pBdr>
      <w:spacing w:before="100" w:after="100"/>
      <w:jc w:val="center"/>
      <w:textAlignment w:val="center"/>
    </w:pPr>
    <w:rPr>
      <w:rFonts w:hint="eastAsia" w:ascii="黑体" w:hAnsi="宋体" w:eastAsia="黑体"/>
      <w:kern w:val="0"/>
      <w:sz w:val="28"/>
      <w:szCs w:val="20"/>
    </w:rPr>
  </w:style>
  <w:style w:type="paragraph" w:customStyle="1" w:styleId="77">
    <w:name w:val="九晟表格"/>
    <w:basedOn w:val="1"/>
    <w:qFormat/>
    <w:uiPriority w:val="0"/>
    <w:pPr>
      <w:spacing w:line="360" w:lineRule="exact"/>
      <w:jc w:val="center"/>
    </w:pPr>
  </w:style>
  <w:style w:type="paragraph" w:customStyle="1" w:styleId="78">
    <w:name w:val="表"/>
    <w:basedOn w:val="1"/>
    <w:qFormat/>
    <w:uiPriority w:val="0"/>
    <w:pPr>
      <w:snapToGrid w:val="0"/>
      <w:jc w:val="center"/>
    </w:pPr>
    <w:rPr>
      <w:spacing w:val="2"/>
      <w:szCs w:val="20"/>
    </w:rPr>
  </w:style>
  <w:style w:type="paragraph" w:customStyle="1" w:styleId="79">
    <w:name w:val="报告小标题2"/>
    <w:basedOn w:val="1"/>
    <w:qFormat/>
    <w:uiPriority w:val="0"/>
    <w:pPr>
      <w:spacing w:line="560" w:lineRule="exact"/>
      <w:ind w:firstLine="225" w:firstLineChars="225"/>
    </w:pPr>
    <w:rPr>
      <w:snapToGrid w:val="0"/>
      <w:sz w:val="28"/>
      <w:szCs w:val="28"/>
    </w:rPr>
  </w:style>
  <w:style w:type="paragraph" w:customStyle="1" w:styleId="80">
    <w:name w:val="1表格"/>
    <w:basedOn w:val="1"/>
    <w:qFormat/>
    <w:uiPriority w:val="0"/>
    <w:pPr>
      <w:snapToGrid w:val="0"/>
      <w:spacing w:line="160" w:lineRule="atLeast"/>
      <w:jc w:val="center"/>
    </w:pPr>
    <w:rPr>
      <w:rFonts w:eastAsia="仿宋_GB2312"/>
      <w:szCs w:val="20"/>
    </w:rPr>
  </w:style>
  <w:style w:type="paragraph" w:customStyle="1" w:styleId="81">
    <w:name w:val="Char1"/>
    <w:basedOn w:val="1"/>
    <w:qFormat/>
    <w:uiPriority w:val="0"/>
    <w:rPr>
      <w:sz w:val="24"/>
    </w:rPr>
  </w:style>
  <w:style w:type="paragraph" w:customStyle="1" w:styleId="82">
    <w:name w:val="九晟表格标题"/>
    <w:basedOn w:val="1"/>
    <w:qFormat/>
    <w:uiPriority w:val="0"/>
    <w:pPr>
      <w:spacing w:line="360" w:lineRule="auto"/>
      <w:jc w:val="center"/>
    </w:pPr>
    <w:rPr>
      <w:b/>
      <w:color w:val="FF0000"/>
    </w:rPr>
  </w:style>
  <w:style w:type="paragraph" w:customStyle="1" w:styleId="83">
    <w:name w:val="List Paragraph"/>
    <w:basedOn w:val="1"/>
    <w:qFormat/>
    <w:uiPriority w:val="1"/>
    <w:pPr>
      <w:autoSpaceDE w:val="0"/>
      <w:autoSpaceDN w:val="0"/>
      <w:ind w:left="448" w:firstLine="560"/>
      <w:jc w:val="left"/>
    </w:pPr>
    <w:rPr>
      <w:rFonts w:ascii="宋体" w:hAnsi="宋体" w:cs="宋体"/>
      <w:kern w:val="0"/>
      <w:sz w:val="22"/>
      <w:szCs w:val="22"/>
      <w:lang w:eastAsia="en-US"/>
    </w:rPr>
  </w:style>
  <w:style w:type="paragraph" w:customStyle="1" w:styleId="84">
    <w:name w:val="标题3 Char Char Char Char"/>
    <w:basedOn w:val="1"/>
    <w:qFormat/>
    <w:uiPriority w:val="0"/>
    <w:pPr>
      <w:spacing w:afterLines="50" w:line="560" w:lineRule="exact"/>
    </w:pPr>
    <w:rPr>
      <w:rFonts w:eastAsia="黑体"/>
      <w:sz w:val="30"/>
      <w:szCs w:val="30"/>
    </w:rPr>
  </w:style>
  <w:style w:type="paragraph" w:customStyle="1" w:styleId="85">
    <w:name w:val="样式 首行缩进:  2 字符"/>
    <w:basedOn w:val="1"/>
    <w:qFormat/>
    <w:uiPriority w:val="0"/>
    <w:pPr>
      <w:spacing w:line="360" w:lineRule="auto"/>
      <w:ind w:firstLine="420" w:firstLineChars="200"/>
    </w:pPr>
    <w:rPr>
      <w:szCs w:val="20"/>
    </w:rPr>
  </w:style>
  <w:style w:type="paragraph" w:customStyle="1" w:styleId="86">
    <w:name w:val="Char Char Char Char Char Char Char Char Char1 Char Char Char Char"/>
    <w:basedOn w:val="1"/>
    <w:qFormat/>
    <w:uiPriority w:val="0"/>
    <w:rPr>
      <w:sz w:val="24"/>
    </w:rPr>
  </w:style>
  <w:style w:type="paragraph" w:customStyle="1" w:styleId="87">
    <w:name w:val="样式3"/>
    <w:basedOn w:val="74"/>
    <w:qFormat/>
    <w:uiPriority w:val="0"/>
    <w:pPr>
      <w:spacing w:line="500" w:lineRule="atLeast"/>
      <w:ind w:firstLine="0"/>
      <w:jc w:val="left"/>
      <w:textAlignment w:val="auto"/>
      <w:outlineLvl w:val="1"/>
    </w:pPr>
    <w:rPr>
      <w:b/>
    </w:rPr>
  </w:style>
  <w:style w:type="paragraph" w:customStyle="1" w:styleId="88">
    <w:name w:val="整洁正文"/>
    <w:basedOn w:val="1"/>
    <w:qFormat/>
    <w:uiPriority w:val="0"/>
    <w:pPr>
      <w:adjustRightInd w:val="0"/>
      <w:snapToGrid w:val="0"/>
      <w:spacing w:line="360" w:lineRule="auto"/>
      <w:ind w:firstLine="480" w:firstLineChars="200"/>
    </w:pPr>
    <w:rPr>
      <w:rFonts w:ascii="宋体" w:hAnsi="宋体" w:eastAsia="Times New Roman"/>
      <w:sz w:val="24"/>
    </w:rPr>
  </w:style>
  <w:style w:type="paragraph" w:customStyle="1" w:styleId="89">
    <w:name w:val="Char Char Char Char"/>
    <w:basedOn w:val="1"/>
    <w:qFormat/>
    <w:uiPriority w:val="0"/>
    <w:pPr>
      <w:spacing w:line="360" w:lineRule="auto"/>
      <w:ind w:firstLine="200" w:firstLineChars="200"/>
    </w:pPr>
    <w:rPr>
      <w:szCs w:val="20"/>
    </w:rPr>
  </w:style>
  <w:style w:type="paragraph" w:customStyle="1" w:styleId="90">
    <w:name w:val="p0"/>
    <w:basedOn w:val="1"/>
    <w:qFormat/>
    <w:uiPriority w:val="0"/>
    <w:pPr>
      <w:widowControl/>
    </w:pPr>
    <w:rPr>
      <w:kern w:val="0"/>
      <w:szCs w:val="21"/>
    </w:rPr>
  </w:style>
  <w:style w:type="paragraph" w:customStyle="1" w:styleId="91">
    <w:name w:val="表头"/>
    <w:basedOn w:val="9"/>
    <w:qFormat/>
    <w:uiPriority w:val="0"/>
    <w:pPr>
      <w:spacing w:before="240" w:line="480" w:lineRule="exact"/>
      <w:ind w:firstLine="0" w:firstLineChars="0"/>
      <w:jc w:val="center"/>
    </w:pPr>
    <w:rPr>
      <w:rFonts w:ascii="宋体" w:eastAsia="黑体"/>
      <w:spacing w:val="6"/>
      <w:position w:val="10"/>
    </w:rPr>
  </w:style>
  <w:style w:type="paragraph" w:customStyle="1" w:styleId="92">
    <w:name w:val="九晟正文"/>
    <w:basedOn w:val="1"/>
    <w:qFormat/>
    <w:uiPriority w:val="0"/>
    <w:pPr>
      <w:spacing w:line="360" w:lineRule="auto"/>
      <w:ind w:firstLine="480" w:firstLineChars="200"/>
      <w:jc w:val="left"/>
    </w:pPr>
    <w:rPr>
      <w:sz w:val="24"/>
    </w:rPr>
  </w:style>
  <w:style w:type="paragraph" w:customStyle="1" w:styleId="93">
    <w:name w:val="表格文字"/>
    <w:basedOn w:val="1"/>
    <w:qFormat/>
    <w:uiPriority w:val="0"/>
    <w:pPr>
      <w:jc w:val="center"/>
    </w:pPr>
    <w:rPr>
      <w:rFonts w:ascii="宋体" w:hAnsi="宋体" w:eastAsia="仿宋_GB2312"/>
      <w:kern w:val="44"/>
      <w:sz w:val="24"/>
      <w:szCs w:val="20"/>
    </w:rPr>
  </w:style>
  <w:style w:type="paragraph" w:customStyle="1" w:styleId="94">
    <w:name w:val="正文（首行缩进两字）"/>
    <w:basedOn w:val="1"/>
    <w:next w:val="1"/>
    <w:qFormat/>
    <w:uiPriority w:val="0"/>
    <w:pPr>
      <w:autoSpaceDE w:val="0"/>
      <w:autoSpaceDN w:val="0"/>
      <w:adjustRightInd w:val="0"/>
      <w:jc w:val="left"/>
    </w:pPr>
    <w:rPr>
      <w:rFonts w:ascii="黑体" w:eastAsia="黑体"/>
      <w:kern w:val="0"/>
      <w:sz w:val="24"/>
    </w:rPr>
  </w:style>
  <w:style w:type="paragraph" w:customStyle="1" w:styleId="95">
    <w:name w:val="正文2"/>
    <w:basedOn w:val="1"/>
    <w:qFormat/>
    <w:uiPriority w:val="0"/>
    <w:pPr>
      <w:adjustRightInd w:val="0"/>
      <w:snapToGrid w:val="0"/>
      <w:spacing w:line="440" w:lineRule="atLeast"/>
      <w:ind w:firstLine="567"/>
    </w:pPr>
    <w:rPr>
      <w:sz w:val="24"/>
      <w:szCs w:val="20"/>
    </w:rPr>
  </w:style>
  <w:style w:type="paragraph" w:customStyle="1" w:styleId="96">
    <w:name w:val="正文缩近"/>
    <w:basedOn w:val="1"/>
    <w:qFormat/>
    <w:uiPriority w:val="0"/>
    <w:pPr>
      <w:spacing w:line="360" w:lineRule="auto"/>
      <w:ind w:firstLine="560" w:firstLineChars="200"/>
    </w:pPr>
    <w:rPr>
      <w:sz w:val="28"/>
      <w:szCs w:val="28"/>
    </w:rPr>
  </w:style>
  <w:style w:type="paragraph" w:customStyle="1" w:styleId="97">
    <w:name w:val="Char Char1 Char Char Char Char1 Char Char Char Char Char Char Char Char Char Char Char Char Char Char Char Char Char Char"/>
    <w:basedOn w:val="1"/>
    <w:qFormat/>
    <w:uiPriority w:val="0"/>
  </w:style>
  <w:style w:type="paragraph" w:customStyle="1" w:styleId="98">
    <w:name w:val="表格标题"/>
    <w:basedOn w:val="1"/>
    <w:next w:val="1"/>
    <w:qFormat/>
    <w:uiPriority w:val="0"/>
    <w:pPr>
      <w:keepNext/>
      <w:widowControl/>
      <w:overflowPunct w:val="0"/>
      <w:adjustRightInd w:val="0"/>
      <w:snapToGrid w:val="0"/>
      <w:spacing w:before="360" w:after="120" w:line="480" w:lineRule="exact"/>
      <w:jc w:val="center"/>
      <w:textAlignment w:val="baseline"/>
    </w:pPr>
    <w:rPr>
      <w:rFonts w:ascii="Arial" w:hAnsi="Arial" w:eastAsia="黑体"/>
      <w:snapToGrid w:val="0"/>
      <w:kern w:val="0"/>
      <w:sz w:val="24"/>
      <w:szCs w:val="20"/>
    </w:rPr>
  </w:style>
  <w:style w:type="paragraph" w:customStyle="1" w:styleId="99">
    <w:name w:val="样式 行距: 固定值 24 磅 首行缩进:  2 字符"/>
    <w:basedOn w:val="1"/>
    <w:qFormat/>
    <w:uiPriority w:val="0"/>
    <w:pPr>
      <w:spacing w:line="480" w:lineRule="exact"/>
      <w:ind w:firstLine="480" w:firstLineChars="200"/>
    </w:pPr>
    <w:rPr>
      <w:rFonts w:cs="宋体"/>
      <w:sz w:val="24"/>
      <w:szCs w:val="20"/>
    </w:rPr>
  </w:style>
  <w:style w:type="paragraph" w:customStyle="1" w:styleId="100">
    <w:name w:val="aaaaa标题"/>
    <w:basedOn w:val="3"/>
    <w:qFormat/>
    <w:uiPriority w:val="0"/>
    <w:pPr>
      <w:keepLines/>
      <w:spacing w:before="340" w:after="330" w:line="360" w:lineRule="auto"/>
      <w:ind w:firstLine="0" w:firstLineChars="0"/>
      <w:jc w:val="left"/>
    </w:pPr>
    <w:rPr>
      <w:rFonts w:ascii="Times New Roman" w:hAnsi="Times New Roman"/>
      <w:b/>
      <w:bCs w:val="0"/>
      <w:color w:val="000000"/>
      <w:kern w:val="44"/>
      <w:sz w:val="24"/>
      <w:szCs w:val="20"/>
    </w:rPr>
  </w:style>
  <w:style w:type="paragraph" w:customStyle="1" w:styleId="101">
    <w:name w:val="xl31"/>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02">
    <w:name w:val="1文章"/>
    <w:basedOn w:val="1"/>
    <w:qFormat/>
    <w:uiPriority w:val="0"/>
    <w:pPr>
      <w:spacing w:line="360" w:lineRule="auto"/>
      <w:ind w:firstLine="573"/>
    </w:pPr>
    <w:rPr>
      <w:rFonts w:eastAsia="楷体_GB2312"/>
      <w:sz w:val="28"/>
      <w:szCs w:val="20"/>
    </w:rPr>
  </w:style>
  <w:style w:type="paragraph" w:customStyle="1" w:styleId="103">
    <w:name w:val="表格文字001"/>
    <w:basedOn w:val="1"/>
    <w:qFormat/>
    <w:uiPriority w:val="0"/>
    <w:pPr>
      <w:snapToGrid w:val="0"/>
      <w:spacing w:beforeLines="20" w:afterLines="20"/>
      <w:jc w:val="center"/>
    </w:pPr>
    <w:rPr>
      <w:rFonts w:ascii="宋体" w:hAnsi="宋体"/>
      <w:szCs w:val="21"/>
    </w:rPr>
  </w:style>
  <w:style w:type="paragraph" w:customStyle="1" w:styleId="104">
    <w:name w:val="Char Char Char Char Char Char"/>
    <w:basedOn w:val="1"/>
    <w:qFormat/>
    <w:uiPriority w:val="0"/>
    <w:pPr>
      <w:adjustRightInd w:val="0"/>
      <w:snapToGrid w:val="0"/>
    </w:pPr>
  </w:style>
  <w:style w:type="paragraph" w:customStyle="1" w:styleId="105">
    <w:name w:val="正文1"/>
    <w:basedOn w:val="1"/>
    <w:qFormat/>
    <w:uiPriority w:val="0"/>
    <w:pPr>
      <w:spacing w:line="440" w:lineRule="exact"/>
    </w:pPr>
    <w:rPr>
      <w:sz w:val="24"/>
    </w:rPr>
  </w:style>
  <w:style w:type="paragraph" w:customStyle="1" w:styleId="106">
    <w:name w:val="表格 23"/>
    <w:basedOn w:val="1"/>
    <w:qFormat/>
    <w:uiPriority w:val="0"/>
    <w:pPr>
      <w:spacing w:beforeLines="50" w:line="300" w:lineRule="auto"/>
      <w:jc w:val="center"/>
    </w:pPr>
    <w:rPr>
      <w:szCs w:val="21"/>
    </w:rPr>
  </w:style>
  <w:style w:type="paragraph" w:customStyle="1" w:styleId="10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0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9">
    <w:name w:val="样式9"/>
    <w:basedOn w:val="1"/>
    <w:qFormat/>
    <w:uiPriority w:val="0"/>
    <w:pPr>
      <w:adjustRightInd w:val="0"/>
      <w:snapToGrid w:val="0"/>
      <w:spacing w:line="460" w:lineRule="exact"/>
      <w:ind w:firstLine="520" w:firstLineChars="200"/>
    </w:pPr>
    <w:rPr>
      <w:rFonts w:ascii="Calibri" w:hAnsi="Calibri"/>
      <w:sz w:val="26"/>
      <w:szCs w:val="26"/>
    </w:rPr>
  </w:style>
  <w:style w:type="paragraph" w:customStyle="1" w:styleId="110">
    <w:name w:val="样式 首行缩进:  1 厘米 行距: 固定值 25 磅"/>
    <w:basedOn w:val="1"/>
    <w:qFormat/>
    <w:uiPriority w:val="0"/>
    <w:pPr>
      <w:adjustRightInd w:val="0"/>
      <w:ind w:firstLine="200" w:firstLineChars="200"/>
      <w:jc w:val="left"/>
      <w:textAlignment w:val="baseline"/>
    </w:pPr>
    <w:rPr>
      <w:rFonts w:ascii="宋体" w:cs="宋体"/>
      <w:snapToGrid w:val="0"/>
      <w:kern w:val="24"/>
    </w:rPr>
  </w:style>
  <w:style w:type="paragraph" w:customStyle="1" w:styleId="111">
    <w:name w:val="报告书正文"/>
    <w:basedOn w:val="1"/>
    <w:qFormat/>
    <w:uiPriority w:val="0"/>
    <w:pPr>
      <w:adjustRightInd w:val="0"/>
      <w:ind w:firstLine="200" w:firstLineChars="200"/>
      <w:textAlignment w:val="baseline"/>
    </w:pPr>
    <w:rPr>
      <w:rFonts w:ascii="Calibri" w:hAnsi="Calibri"/>
      <w:kern w:val="0"/>
      <w:szCs w:val="20"/>
    </w:rPr>
  </w:style>
  <w:style w:type="paragraph" w:customStyle="1" w:styleId="112">
    <w:name w:val="表格内容居中"/>
    <w:link w:val="144"/>
    <w:qFormat/>
    <w:uiPriority w:val="0"/>
    <w:pPr>
      <w:adjustRightInd w:val="0"/>
      <w:snapToGrid w:val="0"/>
      <w:jc w:val="center"/>
    </w:pPr>
    <w:rPr>
      <w:rFonts w:ascii="Times New Roman" w:hAnsi="Times New Roman" w:eastAsia="宋体" w:cs="Times New Roman"/>
      <w:snapToGrid w:val="0"/>
      <w:sz w:val="21"/>
      <w:lang w:val="en-US" w:eastAsia="zh-CN" w:bidi="ar-SA"/>
    </w:rPr>
  </w:style>
  <w:style w:type="paragraph" w:customStyle="1" w:styleId="113">
    <w:name w:val="书表头"/>
    <w:basedOn w:val="1"/>
    <w:qFormat/>
    <w:uiPriority w:val="0"/>
    <w:pPr>
      <w:jc w:val="center"/>
    </w:pPr>
    <w:rPr>
      <w:b/>
      <w:szCs w:val="21"/>
      <w:u w:val="single"/>
    </w:rPr>
  </w:style>
  <w:style w:type="paragraph" w:customStyle="1" w:styleId="114">
    <w:name w:val="表正文"/>
    <w:basedOn w:val="1"/>
    <w:qFormat/>
    <w:uiPriority w:val="0"/>
    <w:pPr>
      <w:adjustRightInd w:val="0"/>
      <w:snapToGrid w:val="0"/>
      <w:spacing w:line="360" w:lineRule="auto"/>
      <w:ind w:firstLine="480" w:firstLineChars="200"/>
    </w:pPr>
    <w:rPr>
      <w:sz w:val="24"/>
    </w:rPr>
  </w:style>
  <w:style w:type="paragraph" w:customStyle="1" w:styleId="115">
    <w:name w:val="正文首行"/>
    <w:basedOn w:val="9"/>
    <w:qFormat/>
    <w:uiPriority w:val="0"/>
    <w:pPr>
      <w:spacing w:line="440" w:lineRule="exact"/>
      <w:ind w:firstLine="361" w:firstLineChars="200"/>
    </w:pPr>
    <w:rPr>
      <w:rFonts w:ascii="Times New Roman" w:hAnsi="Times New Roman"/>
      <w:sz w:val="24"/>
    </w:rPr>
  </w:style>
  <w:style w:type="character" w:customStyle="1" w:styleId="116">
    <w:name w:val="font21"/>
    <w:qFormat/>
    <w:uiPriority w:val="0"/>
    <w:rPr>
      <w:rFonts w:hint="default" w:ascii="Times New Roman" w:hAnsi="Times New Roman" w:cs="Times New Roman"/>
      <w:color w:val="000000"/>
      <w:sz w:val="21"/>
      <w:szCs w:val="21"/>
      <w:u w:val="none"/>
    </w:rPr>
  </w:style>
  <w:style w:type="character" w:customStyle="1" w:styleId="117">
    <w:name w:val="表格正文 Char Char"/>
    <w:link w:val="47"/>
    <w:qFormat/>
    <w:uiPriority w:val="0"/>
    <w:rPr>
      <w:rFonts w:ascii="CG Times (W1)" w:hAnsi="CG Times (W1)"/>
      <w:b/>
      <w:sz w:val="21"/>
      <w:lang w:bidi="ar-SA"/>
    </w:rPr>
  </w:style>
  <w:style w:type="character" w:customStyle="1" w:styleId="118">
    <w:name w:val="表格 Char Char"/>
    <w:link w:val="48"/>
    <w:qFormat/>
    <w:uiPriority w:val="0"/>
    <w:rPr>
      <w:rFonts w:eastAsia="宋体"/>
      <w:kern w:val="2"/>
      <w:sz w:val="24"/>
      <w:szCs w:val="24"/>
      <w:lang w:val="en-US" w:eastAsia="zh-CN" w:bidi="ar-SA"/>
    </w:rPr>
  </w:style>
  <w:style w:type="character" w:customStyle="1" w:styleId="119">
    <w:name w:val="正文文本缩进 Char"/>
    <w:link w:val="14"/>
    <w:qFormat/>
    <w:uiPriority w:val="0"/>
    <w:rPr>
      <w:kern w:val="2"/>
      <w:sz w:val="32"/>
    </w:rPr>
  </w:style>
  <w:style w:type="character" w:customStyle="1" w:styleId="120">
    <w:name w:val="批注引用1"/>
    <w:qFormat/>
    <w:uiPriority w:val="0"/>
    <w:rPr>
      <w:sz w:val="21"/>
    </w:rPr>
  </w:style>
  <w:style w:type="character" w:customStyle="1" w:styleId="121">
    <w:name w:val="正文首行缩进 Char"/>
    <w:link w:val="36"/>
    <w:qFormat/>
    <w:uiPriority w:val="0"/>
    <w:rPr>
      <w:kern w:val="2"/>
      <w:sz w:val="21"/>
      <w:szCs w:val="24"/>
    </w:rPr>
  </w:style>
  <w:style w:type="character" w:customStyle="1" w:styleId="122">
    <w:name w:val="胡正文 Char"/>
    <w:link w:val="49"/>
    <w:qFormat/>
    <w:uiPriority w:val="0"/>
    <w:rPr>
      <w:rFonts w:ascii="宋体" w:hAnsi="宋体"/>
      <w:kern w:val="2"/>
      <w:sz w:val="24"/>
      <w:szCs w:val="28"/>
    </w:rPr>
  </w:style>
  <w:style w:type="character" w:customStyle="1" w:styleId="123">
    <w:name w:val="报告表正文 Char Char"/>
    <w:link w:val="50"/>
    <w:qFormat/>
    <w:uiPriority w:val="0"/>
    <w:rPr>
      <w:rFonts w:eastAsia="楷体_GB2312"/>
      <w:kern w:val="2"/>
      <w:sz w:val="24"/>
      <w:szCs w:val="24"/>
      <w:lang w:bidi="ar-SA"/>
    </w:rPr>
  </w:style>
  <w:style w:type="character" w:customStyle="1" w:styleId="124">
    <w:name w:val="标题1"/>
    <w:basedOn w:val="41"/>
    <w:qFormat/>
    <w:uiPriority w:val="0"/>
  </w:style>
  <w:style w:type="character" w:customStyle="1" w:styleId="125">
    <w:name w:val="样式 表头 + (西文) 黑体 Char"/>
    <w:link w:val="51"/>
    <w:qFormat/>
    <w:uiPriority w:val="0"/>
    <w:rPr>
      <w:b/>
      <w:sz w:val="21"/>
      <w:szCs w:val="21"/>
    </w:rPr>
  </w:style>
  <w:style w:type="character" w:customStyle="1" w:styleId="126">
    <w:name w:val="标题 3 Char"/>
    <w:link w:val="5"/>
    <w:qFormat/>
    <w:uiPriority w:val="0"/>
    <w:rPr>
      <w:rFonts w:eastAsia="宋体"/>
      <w:b/>
      <w:bCs/>
      <w:kern w:val="2"/>
      <w:sz w:val="32"/>
      <w:szCs w:val="32"/>
      <w:lang w:val="en-US" w:eastAsia="zh-CN" w:bidi="ar-SA"/>
    </w:rPr>
  </w:style>
  <w:style w:type="character" w:customStyle="1" w:styleId="127">
    <w:name w:val="正文首行缩进 2 Char"/>
    <w:link w:val="37"/>
    <w:qFormat/>
    <w:uiPriority w:val="0"/>
    <w:rPr>
      <w:kern w:val="2"/>
      <w:sz w:val="21"/>
      <w:szCs w:val="24"/>
    </w:rPr>
  </w:style>
  <w:style w:type="character" w:customStyle="1" w:styleId="128">
    <w:name w:val="表文 Char"/>
    <w:link w:val="52"/>
    <w:qFormat/>
    <w:locked/>
    <w:uiPriority w:val="0"/>
    <w:rPr>
      <w:rFonts w:eastAsia="仿宋_GB2312"/>
      <w:kern w:val="2"/>
      <w:sz w:val="24"/>
    </w:rPr>
  </w:style>
  <w:style w:type="character" w:customStyle="1" w:styleId="129">
    <w:name w:val="表格标题1 Char Char"/>
    <w:link w:val="53"/>
    <w:qFormat/>
    <w:uiPriority w:val="0"/>
    <w:rPr>
      <w:b/>
      <w:kern w:val="2"/>
      <w:sz w:val="21"/>
      <w:lang w:bidi="ar-SA"/>
    </w:rPr>
  </w:style>
  <w:style w:type="character" w:customStyle="1" w:styleId="130">
    <w:name w:val="font01"/>
    <w:qFormat/>
    <w:uiPriority w:val="0"/>
    <w:rPr>
      <w:rFonts w:hint="default" w:ascii="Times New Roman" w:hAnsi="Times New Roman" w:cs="Times New Roman"/>
      <w:color w:val="000000"/>
      <w:sz w:val="21"/>
      <w:szCs w:val="21"/>
      <w:u w:val="none"/>
      <w:vertAlign w:val="subscript"/>
    </w:rPr>
  </w:style>
  <w:style w:type="character" w:customStyle="1" w:styleId="131">
    <w:name w:val="样式1 Char"/>
    <w:link w:val="54"/>
    <w:qFormat/>
    <w:uiPriority w:val="0"/>
    <w:rPr>
      <w:rFonts w:eastAsia="仿宋_GB2312"/>
      <w:sz w:val="28"/>
      <w:lang w:val="en-US" w:eastAsia="zh-CN" w:bidi="ar-SA"/>
    </w:rPr>
  </w:style>
  <w:style w:type="character" w:customStyle="1" w:styleId="132">
    <w:name w:val="font31"/>
    <w:qFormat/>
    <w:uiPriority w:val="0"/>
    <w:rPr>
      <w:rFonts w:hint="default" w:ascii="Times New Roman" w:hAnsi="Times New Roman" w:cs="Times New Roman"/>
      <w:color w:val="000000"/>
      <w:sz w:val="21"/>
      <w:szCs w:val="21"/>
      <w:u w:val="none"/>
    </w:rPr>
  </w:style>
  <w:style w:type="character" w:customStyle="1" w:styleId="133">
    <w:name w:val="font11"/>
    <w:qFormat/>
    <w:uiPriority w:val="0"/>
    <w:rPr>
      <w:rFonts w:hint="default" w:ascii="Times New Roman" w:hAnsi="Times New Roman" w:cs="Times New Roman"/>
      <w:color w:val="000000"/>
      <w:sz w:val="21"/>
      <w:szCs w:val="21"/>
      <w:u w:val="none"/>
      <w:vertAlign w:val="subscript"/>
    </w:rPr>
  </w:style>
  <w:style w:type="character" w:customStyle="1" w:styleId="134">
    <w:name w:val="ca-21"/>
    <w:qFormat/>
    <w:uiPriority w:val="0"/>
    <w:rPr>
      <w:rFonts w:hint="eastAsia" w:ascii="宋体" w:hAnsi="宋体" w:eastAsia="宋体"/>
      <w:sz w:val="21"/>
      <w:szCs w:val="21"/>
    </w:rPr>
  </w:style>
  <w:style w:type="character" w:customStyle="1" w:styleId="135">
    <w:name w:val="页眉 Char"/>
    <w:link w:val="24"/>
    <w:qFormat/>
    <w:uiPriority w:val="0"/>
    <w:rPr>
      <w:kern w:val="2"/>
      <w:sz w:val="18"/>
      <w:szCs w:val="18"/>
    </w:rPr>
  </w:style>
  <w:style w:type="character" w:customStyle="1" w:styleId="136">
    <w:name w:val="表格 32 Char"/>
    <w:link w:val="55"/>
    <w:qFormat/>
    <w:uiPriority w:val="0"/>
    <w:rPr>
      <w:rFonts w:ascii="宋体" w:hAnsi="Impact"/>
      <w:kern w:val="24"/>
      <w:sz w:val="24"/>
      <w:lang w:val="en-US" w:eastAsia="zh-CN"/>
    </w:rPr>
  </w:style>
  <w:style w:type="character" w:customStyle="1" w:styleId="137">
    <w:name w:val="样式1 Char Char"/>
    <w:qFormat/>
    <w:uiPriority w:val="0"/>
    <w:rPr>
      <w:rFonts w:eastAsia="楷体_GB2312"/>
      <w:kern w:val="2"/>
      <w:sz w:val="21"/>
    </w:rPr>
  </w:style>
  <w:style w:type="character" w:customStyle="1" w:styleId="138">
    <w:name w:val="标题 2 Char"/>
    <w:link w:val="4"/>
    <w:qFormat/>
    <w:uiPriority w:val="0"/>
    <w:rPr>
      <w:rFonts w:ascii="Arial" w:hAnsi="Arial" w:eastAsia="黑体"/>
      <w:b/>
      <w:bCs/>
      <w:kern w:val="2"/>
      <w:sz w:val="32"/>
      <w:szCs w:val="32"/>
      <w:lang w:val="en-US" w:eastAsia="zh-CN" w:bidi="ar-SA"/>
    </w:rPr>
  </w:style>
  <w:style w:type="character" w:customStyle="1" w:styleId="139">
    <w:name w:val="批注文字 Char"/>
    <w:link w:val="11"/>
    <w:qFormat/>
    <w:uiPriority w:val="99"/>
    <w:rPr>
      <w:kern w:val="2"/>
      <w:sz w:val="21"/>
      <w:szCs w:val="24"/>
    </w:rPr>
  </w:style>
  <w:style w:type="character" w:customStyle="1" w:styleId="140">
    <w:name w:val="ca-41"/>
    <w:qFormat/>
    <w:uiPriority w:val="0"/>
    <w:rPr>
      <w:rFonts w:hint="default" w:ascii="Times New Roman" w:hAnsi="Times New Roman" w:cs="Times New Roman"/>
      <w:sz w:val="21"/>
      <w:szCs w:val="21"/>
    </w:rPr>
  </w:style>
  <w:style w:type="character" w:customStyle="1" w:styleId="141">
    <w:name w:val="表内格式 Char1"/>
    <w:link w:val="56"/>
    <w:qFormat/>
    <w:uiPriority w:val="0"/>
    <w:rPr>
      <w:rFonts w:eastAsia="楷体_GB2312"/>
      <w:kern w:val="2"/>
      <w:sz w:val="18"/>
      <w:szCs w:val="18"/>
    </w:rPr>
  </w:style>
  <w:style w:type="character" w:customStyle="1" w:styleId="142">
    <w:name w:val="正文缩进 Char"/>
    <w:link w:val="9"/>
    <w:qFormat/>
    <w:uiPriority w:val="0"/>
    <w:rPr>
      <w:rFonts w:eastAsia="宋体"/>
      <w:kern w:val="2"/>
      <w:sz w:val="21"/>
      <w:lang w:val="en-US" w:eastAsia="zh-CN" w:bidi="ar-SA"/>
    </w:rPr>
  </w:style>
  <w:style w:type="character" w:customStyle="1" w:styleId="143">
    <w:name w:val="HTML 预设格式 Char"/>
    <w:link w:val="33"/>
    <w:qFormat/>
    <w:uiPriority w:val="99"/>
    <w:rPr>
      <w:rFonts w:ascii="宋体" w:hAnsi="宋体" w:cs="宋体"/>
      <w:sz w:val="24"/>
      <w:szCs w:val="24"/>
    </w:rPr>
  </w:style>
  <w:style w:type="character" w:customStyle="1" w:styleId="144">
    <w:name w:val="表格内容居中 Char"/>
    <w:link w:val="112"/>
    <w:qFormat/>
    <w:locked/>
    <w:uiPriority w:val="0"/>
    <w:rPr>
      <w:snapToGrid w:val="0"/>
      <w:sz w:val="21"/>
    </w:rPr>
  </w:style>
  <w:style w:type="character" w:customStyle="1" w:styleId="145">
    <w:name w:val="Placeholder Text"/>
    <w:basedOn w:val="41"/>
    <w:semiHidden/>
    <w:qFormat/>
    <w:uiPriority w:val="99"/>
    <w:rPr>
      <w:color w:val="808080"/>
    </w:rPr>
  </w:style>
  <w:style w:type="character" w:customStyle="1" w:styleId="146">
    <w:name w:val="正文文本 Char"/>
    <w:link w:val="12"/>
    <w:qFormat/>
    <w:uiPriority w:val="0"/>
    <w:rPr>
      <w:kern w:val="2"/>
      <w:sz w:val="24"/>
      <w:szCs w:val="24"/>
    </w:rPr>
  </w:style>
  <w:style w:type="character" w:customStyle="1" w:styleId="147">
    <w:name w:val="页脚 Char"/>
    <w:basedOn w:val="41"/>
    <w:link w:val="23"/>
    <w:qFormat/>
    <w:uiPriority w:val="99"/>
    <w:rPr>
      <w:kern w:val="2"/>
      <w:sz w:val="18"/>
      <w:szCs w:val="18"/>
    </w:rPr>
  </w:style>
  <w:style w:type="table" w:customStyle="1" w:styleId="148">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6201</Words>
  <Characters>35347</Characters>
  <Lines>294</Lines>
  <Paragraphs>82</Paragraphs>
  <TotalTime>4</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2019-12-17T04:45:00Z</dcterms:created>
  <dc:creator>小小饶～～</dc:creator>
  <cp:lastModifiedBy>胡人</cp:lastModifiedBy>
  <cp:lastPrinted>2019-09-20T03:16:00Z</cp:lastPrinted>
  <dcterms:modified xsi:type="dcterms:W3CDTF">2020-11-15T14:00:20Z</dcterms:modified>
  <dc:title>1 建设项目基本情况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