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color w:val="000000" w:themeColor="text1"/>
          <w:kern w:val="0"/>
          <w:sz w:val="44"/>
          <w:szCs w:val="44"/>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44"/>
          <w:szCs w:val="44"/>
          <w:lang w:eastAsia="zh-CN"/>
          <w14:textFill>
            <w14:solidFill>
              <w14:schemeClr w14:val="tx1"/>
            </w14:solidFill>
          </w14:textFill>
        </w:rPr>
        <w:t>邵东市</w:t>
      </w:r>
      <w:r>
        <w:rPr>
          <w:rFonts w:hint="eastAsia" w:asciiTheme="majorEastAsia" w:hAnsiTheme="majorEastAsia" w:eastAsiaTheme="majorEastAsia" w:cstheme="majorEastAsia"/>
          <w:bCs/>
          <w:color w:val="000000" w:themeColor="text1"/>
          <w:sz w:val="44"/>
          <w:szCs w:val="44"/>
          <w:lang w:val="en-US" w:eastAsia="zh-CN"/>
          <w14:textFill>
            <w14:solidFill>
              <w14:schemeClr w14:val="tx1"/>
            </w14:solidFill>
          </w14:textFill>
        </w:rPr>
        <w:t>文化旅游广电体育局</w:t>
      </w:r>
      <w:r>
        <w:rPr>
          <w:rFonts w:hint="eastAsia" w:asciiTheme="majorEastAsia" w:hAnsiTheme="majorEastAsia" w:eastAsiaTheme="majorEastAsia" w:cstheme="majorEastAsia"/>
          <w:color w:val="000000" w:themeColor="text1"/>
          <w:kern w:val="0"/>
          <w:sz w:val="44"/>
          <w:szCs w:val="44"/>
          <w:lang w:val="en-US" w:eastAsia="zh-CN" w:bidi="ar-SA"/>
          <w14:textFill>
            <w14:solidFill>
              <w14:schemeClr w14:val="tx1"/>
            </w14:solidFill>
          </w14:textFill>
        </w:rPr>
        <w:t>2019年度部门整体支出绩效评价报告</w:t>
      </w:r>
    </w:p>
    <w:p>
      <w:pPr>
        <w:keepNext w:val="0"/>
        <w:keepLines w:val="0"/>
        <w:pageBreakBefore w:val="0"/>
        <w:kinsoku/>
        <w:wordWrap/>
        <w:overflowPunct/>
        <w:topLinePunct w:val="0"/>
        <w:bidi w:val="0"/>
        <w:snapToGrid/>
        <w:spacing w:line="24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spacing w:line="240" w:lineRule="auto"/>
        <w:ind w:firstLine="614" w:firstLineChars="192"/>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一、部门（单位）基本概况</w:t>
      </w:r>
      <w:bookmarkStart w:id="0" w:name="_GoBack"/>
      <w:bookmarkEnd w:id="0"/>
    </w:p>
    <w:p>
      <w:pPr>
        <w:keepNext w:val="0"/>
        <w:keepLines w:val="0"/>
        <w:pageBreakBefore w:val="0"/>
        <w:widowControl/>
        <w:kinsoku/>
        <w:wordWrap/>
        <w:overflowPunct/>
        <w:topLinePunct w:val="0"/>
        <w:bidi w:val="0"/>
        <w:snapToGrid/>
        <w:spacing w:line="240" w:lineRule="auto"/>
        <w:ind w:firstLine="643" w:firstLineChars="200"/>
        <w:textAlignment w:val="auto"/>
        <w:rPr>
          <w:rFonts w:hint="eastAsia" w:eastAsia="仿宋_GB2312"/>
          <w:b/>
          <w:bCs/>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（一）部门职责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（一）贯彻执行党和国家、省、市有关文化、旅游、广播电视、体育、文物工作的法律法规及规章和方针政策；起草有关规范性文件并监督实施。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2"/>
          <w:szCs w:val="32"/>
          <w:shd w:val="clear" w:fill="FFFFFF"/>
          <w14:textFill>
            <w14:solidFill>
              <w14:schemeClr w14:val="tx1"/>
            </w14:solidFill>
          </w14:textFill>
        </w:rPr>
        <w:t>（二）指导和推进文化、旅游、广播电视、体育、文物领域体制机制改革，推进邵东市文化、旅游、广播电视、体育、文物事业融合发展，编制实施邵东市文化、旅游、广播电视、体育、文物事业的发展战略、发展目标和中长期发展规划、年度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三）管理邵东市重大文化、旅游、广播电视、体育、文物活动，指导邵东市重点文化、旅游、广播电视、体育和文物设施建设，组织邵东市文化、旅游、广播电视、体育、文物整体形象推广，促进文化、旅游、广播电视、体育、文物对外合作和市场推广，制定文化、旅游、广播电视、体育、文物市场开发战略并组织实施，指导、推进全域旅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（四）按权限负责文化、旅游、广播电视、体育、文物领域的行政许可、复议和监督工作；指导监督本行业的学会、协会等社团工作。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（五）管理邵东市文学艺术事业，指导艺术创作与生产，重点扶植具有代表性示范性的文艺作品，参与组织重大文化艺术活动。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（六）组织、指导邵东市文化、旅游、广播电视、体育、文物的公共服务，指导公共文旅产品的生产；指导社会文化事业和文化艺术普及工作，推进邵东市文化旅游公共服务体系建设。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（七）指导、推进文化、旅游、广播电视、体育、文物科技创新发展，推进文化、旅游、广播电视、体育、文物行业信息化、标准化建设。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32"/>
          <w:szCs w:val="32"/>
          <w:shd w:val="clear" w:fill="FFFFFF"/>
          <w14:textFill>
            <w14:solidFill>
              <w14:schemeClr w14:val="tx1"/>
            </w14:solidFill>
          </w14:textFill>
        </w:rPr>
        <w:t>（八）负责邵东市非物质文化遗产保护和优秀民族文化的传承普及工作，组织开展国家级、省级、市级非物质文化遗产代表项目及其传承人的申报、评审工作；组织协调邵东市文化遗产展示活动。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（九）统筹规划文化、旅游、广播电视、体育产业，组织实施文化、旅游、广播电视、体育、文物资源普查、挖掘、保护和利用工作，促进文化、旅游、广播电视、体育产业发展。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（十）指导推动文化、旅游、广播电视、体育、文物市场发展，对文化、旅游、广播电视、体育、文物市场经营进行行业监管，推进行业信用体系建设，依法规范文化、旅游、广播电视、体育、文物市场。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（十一）指导邵东市文化市场综合行政执法工作，负责对邵东市文艺演出、文化娱乐、互联网上网服务、文化艺术品经营活动、文物、旅游、广播电视、体育市场等进行监管。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（十二）拟订邵东市文物和博物馆发展规划，协调指导邵东市文物和博物馆安全防范工作，指导邵东市文物安全责任落实，</w:t>
      </w:r>
      <w:r>
        <w:rPr>
          <w:rFonts w:hint="eastAsia" w:asciiTheme="minorEastAsia" w:hAnsiTheme="minorEastAsia" w:eastAsiaTheme="minorEastAsia" w:cstheme="minorEastAsia"/>
          <w:i w:val="0"/>
          <w:caps w:val="0"/>
          <w:color w:val="000000" w:themeColor="text1"/>
          <w:spacing w:val="0"/>
          <w:kern w:val="0"/>
          <w:sz w:val="32"/>
          <w:szCs w:val="32"/>
          <w:shd w:val="clear" w:fill="FFFFFF"/>
          <w:lang w:val="en-US" w:eastAsia="zh-CN" w:bidi="ar"/>
          <w14:textFill>
            <w14:solidFill>
              <w14:schemeClr w14:val="tx1"/>
            </w14:solidFill>
          </w14:textFill>
        </w:rPr>
        <w:t>履行文物行政执法督察和文物安全督察职责，</w:t>
      </w: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协同有关部门对邵东市世界自然和文化双重遗产、国家级和省级历史文化名城（镇、村）的申报、审核、保护和监督管理工作，负责指导协调邵东市文物的保护管理、抢救发掘、研究利用宣传、人才培训等工作；依法对邵东市不可移动文物、馆藏文物、民间收藏文物进行监督管理；审核、申报并配合建设工程的考古勘探、发掘项目；审查申报考古勘探抢救性发掘项目；指导各级博物馆、纪念馆的建设；协调和指导利用文物开展对外合作和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十三）拟订邵东市旅游市场开发规划，组织邵东市旅游形象的对外宣传和重大推广活动；拟订我市开拓文化、旅游、广播电视、体育、文物市场的措施并指导实施；协调和指导邵东市假日旅游和红色旅游工作；依规对旅行社、旅游饭店、乡村旅游区等实施许可监督管理，负责监测邵东市文化、旅游、广播电视、体育经济运行和邵东市文化、旅游、广播电视、体育、文物统计及行业信息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（十四）负责对广播电视节目安全传输覆盖、监测和安全播出进行监管，指导、推进应急广播体系建设；监管卫星电视接收设施和境外卫星电视节目的落地与接收；指导、协调广播电视系统安全和保卫工作。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十五）负责对各类广播电视机构进行业务指导和行业监管，会同有关部门对网络视听节目服务机构进行管理；监督管理、审查广播电视节目、网络视听节目的内容和质量；指导、监管广播电视广告播放；负责推进广播电视与新媒体新技术新业态融合发展，推进广电网与电信网、互联网三网融合；指导、协调广播电视邵东市市性重大宣传活动，指导实施广播电视节目评价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（十六）拟订邵东市文化、旅游、广播电视、体育、文物行业人才队伍建设；拟订邵东市文旅广体系统人才教育、培训规划并组织实施；负责相关系列专业技术职称评审工作。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十七）推行全民健身计划，实施国家体育锻炼标准，负责开展国民体质监测；指导、协调、组织、配合各行业群众性体育活动的开展，负责社会体育指导工作队伍建设；做好学校、机关、企业、部队、少数民族和残疾人的体育工作，负责公共体育设施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（十八）统筹协调邵东市体育事业和竞技体育发展，组织参加和承办国家级和省、市、邵东市级体育竞赛；研究和平衡邵东市竞技运动项目设置与重点布局；指导和推进青少年体育工作，加强体育后备人才建设。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jc w:val="left"/>
        <w:textAlignment w:val="auto"/>
        <w:rPr>
          <w:rFonts w:ascii="仿宋_GB2312" w:hAnsi="宋体" w:eastAsia="仿宋_GB2312"/>
          <w:color w:val="000000" w:themeColor="text1"/>
          <w:sz w:val="28"/>
          <w:szCs w:val="32"/>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kern w:val="0"/>
          <w:sz w:val="32"/>
          <w:szCs w:val="32"/>
          <w:shd w:val="clear" w:fill="FFFFFF"/>
          <w:lang w:val="en-US" w:eastAsia="zh-CN" w:bidi="ar"/>
          <w14:textFill>
            <w14:solidFill>
              <w14:schemeClr w14:val="tx1"/>
            </w14:solidFill>
          </w14:textFill>
        </w:rPr>
        <w:t>（十九）完成邵东市委、邵东市政府交办的其他任务。</w:t>
      </w:r>
    </w:p>
    <w:p>
      <w:pPr>
        <w:keepNext w:val="0"/>
        <w:keepLines w:val="0"/>
        <w:pageBreakBefore w:val="0"/>
        <w:widowControl/>
        <w:kinsoku/>
        <w:wordWrap/>
        <w:overflowPunct/>
        <w:topLinePunct w:val="0"/>
        <w:bidi w:val="0"/>
        <w:snapToGrid/>
        <w:spacing w:line="240" w:lineRule="auto"/>
        <w:ind w:firstLine="643" w:firstLineChars="200"/>
        <w:textAlignment w:val="auto"/>
        <w:rPr>
          <w:rFonts w:hint="eastAsia" w:eastAsia="仿宋_GB2312"/>
          <w:b/>
          <w:bCs/>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（二）机构设置及决算单位构成</w:t>
      </w:r>
    </w:p>
    <w:p>
      <w:pPr>
        <w:keepNext w:val="0"/>
        <w:keepLines w:val="0"/>
        <w:pageBreakBefore w:val="0"/>
        <w:widowControl/>
        <w:kinsoku/>
        <w:wordWrap/>
        <w:overflowPunct/>
        <w:topLinePunct w:val="0"/>
        <w:bidi w:val="0"/>
        <w:snapToGrid/>
        <w:spacing w:line="240" w:lineRule="auto"/>
        <w:ind w:firstLine="640" w:firstLineChars="200"/>
        <w:textAlignment w:val="auto"/>
        <w:rPr>
          <w:rFonts w:hint="eastAsia" w:asciiTheme="minorEastAsia" w:hAnsiTheme="minorEastAsia" w:eastAsiaTheme="minorEastAsia" w:cstheme="minorEastAsia"/>
          <w:bCs/>
          <w:color w:val="000000" w:themeColor="text1"/>
          <w:kern w:val="0"/>
          <w:sz w:val="32"/>
          <w:szCs w:val="32"/>
          <w14:textFill>
            <w14:solidFill>
              <w14:schemeClr w14:val="tx1"/>
            </w14:solidFill>
          </w14:textFill>
        </w:rPr>
      </w:pPr>
      <w:r>
        <w:rPr>
          <w:rFonts w:hint="eastAsia" w:ascii="宋体" w:hAnsi="宋体"/>
          <w:bCs/>
          <w:color w:val="000000" w:themeColor="text1"/>
          <w:kern w:val="0"/>
          <w:sz w:val="32"/>
          <w:szCs w:val="32"/>
          <w14:textFill>
            <w14:solidFill>
              <w14:schemeClr w14:val="tx1"/>
            </w14:solidFill>
          </w14:textFill>
        </w:rPr>
        <w:t>（一）内设机构设置。本单位内设机构包括：</w:t>
      </w:r>
      <w:r>
        <w:rPr>
          <w:rFonts w:hint="eastAsia" w:asciiTheme="minorEastAsia" w:hAnsiTheme="minorEastAsia" w:eastAsiaTheme="minorEastAsia" w:cstheme="minorEastAsia"/>
          <w:b w:val="0"/>
          <w:bCs w:val="0"/>
          <w:color w:val="000000" w:themeColor="text1"/>
          <w:sz w:val="32"/>
          <w:szCs w:val="32"/>
          <w:u w:val="none"/>
          <w:shd w:val="clear" w:color="auto" w:fill="auto"/>
          <w14:textFill>
            <w14:solidFill>
              <w14:schemeClr w14:val="tx1"/>
            </w14:solidFill>
          </w14:textFill>
        </w:rPr>
        <w:t>办公室</w:t>
      </w:r>
      <w:r>
        <w:rPr>
          <w:rFonts w:hint="eastAsia" w:asciiTheme="minorEastAsia" w:hAnsiTheme="minorEastAsia" w:eastAsiaTheme="minorEastAsia" w:cstheme="minorEastAsia"/>
          <w:b w:val="0"/>
          <w:bCs w:val="0"/>
          <w:color w:val="000000" w:themeColor="text1"/>
          <w:sz w:val="32"/>
          <w:szCs w:val="32"/>
          <w:u w:val="none"/>
          <w:shd w:val="clear" w:color="auto" w:fill="auto"/>
          <w:lang w:eastAsia="zh-CN"/>
          <w14:textFill>
            <w14:solidFill>
              <w14:schemeClr w14:val="tx1"/>
            </w14:solidFill>
          </w14:textFill>
        </w:rPr>
        <w:t>（加挂政工股牌子）</w:t>
      </w:r>
      <w:r>
        <w:rPr>
          <w:rFonts w:hint="eastAsia" w:asciiTheme="minorEastAsia" w:hAnsiTheme="minorEastAsia" w:eastAsiaTheme="minorEastAsia" w:cstheme="minorEastAsia"/>
          <w:b w:val="0"/>
          <w:bCs w:val="0"/>
          <w:color w:val="000000" w:themeColor="text1"/>
          <w:kern w:val="0"/>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u w:val="none"/>
          <w:shd w:val="clear" w:color="auto" w:fill="auto"/>
          <w:lang w:eastAsia="zh-CN"/>
          <w14:textFill>
            <w14:solidFill>
              <w14:schemeClr w14:val="tx1"/>
            </w14:solidFill>
          </w14:textFill>
        </w:rPr>
        <w:t>文物保护管理</w:t>
      </w:r>
      <w:r>
        <w:rPr>
          <w:rFonts w:hint="eastAsia" w:asciiTheme="minorEastAsia" w:hAnsiTheme="minorEastAsia" w:eastAsiaTheme="minorEastAsia" w:cstheme="minorEastAsia"/>
          <w:b w:val="0"/>
          <w:bCs w:val="0"/>
          <w:color w:val="000000" w:themeColor="text1"/>
          <w:sz w:val="32"/>
          <w:szCs w:val="32"/>
          <w:u w:val="none"/>
          <w:shd w:val="clear" w:color="auto" w:fill="auto"/>
          <w14:textFill>
            <w14:solidFill>
              <w14:schemeClr w14:val="tx1"/>
            </w14:solidFill>
          </w14:textFill>
        </w:rPr>
        <w:t>股</w:t>
      </w:r>
      <w:r>
        <w:rPr>
          <w:rFonts w:hint="eastAsia" w:asciiTheme="minorEastAsia" w:hAnsiTheme="minorEastAsia" w:eastAsiaTheme="minorEastAsia" w:cstheme="minorEastAsia"/>
          <w:b w:val="0"/>
          <w:bCs w:val="0"/>
          <w:color w:val="000000" w:themeColor="text1"/>
          <w:kern w:val="0"/>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u w:val="none"/>
          <w:shd w:val="clear" w:color="auto" w:fill="auto"/>
          <w14:textFill>
            <w14:solidFill>
              <w14:schemeClr w14:val="tx1"/>
            </w14:solidFill>
          </w14:textFill>
        </w:rPr>
        <w:t>文化</w:t>
      </w:r>
      <w:r>
        <w:rPr>
          <w:rFonts w:hint="eastAsia" w:asciiTheme="minorEastAsia" w:hAnsiTheme="minorEastAsia" w:eastAsiaTheme="minorEastAsia" w:cstheme="minorEastAsia"/>
          <w:b w:val="0"/>
          <w:bCs w:val="0"/>
          <w:color w:val="000000" w:themeColor="text1"/>
          <w:sz w:val="32"/>
          <w:szCs w:val="32"/>
          <w:u w:val="none"/>
          <w:shd w:val="clear" w:color="auto" w:fill="auto"/>
          <w:lang w:eastAsia="zh-CN"/>
          <w14:textFill>
            <w14:solidFill>
              <w14:schemeClr w14:val="tx1"/>
            </w14:solidFill>
          </w14:textFill>
        </w:rPr>
        <w:t>艺术</w:t>
      </w:r>
      <w:r>
        <w:rPr>
          <w:rFonts w:hint="eastAsia" w:asciiTheme="minorEastAsia" w:hAnsiTheme="minorEastAsia" w:eastAsiaTheme="minorEastAsia" w:cstheme="minorEastAsia"/>
          <w:b w:val="0"/>
          <w:bCs w:val="0"/>
          <w:color w:val="000000" w:themeColor="text1"/>
          <w:sz w:val="32"/>
          <w:szCs w:val="32"/>
          <w:u w:val="none"/>
          <w:shd w:val="clear" w:color="auto" w:fill="auto"/>
          <w14:textFill>
            <w14:solidFill>
              <w14:schemeClr w14:val="tx1"/>
            </w14:solidFill>
          </w14:textFill>
        </w:rPr>
        <w:t>股</w:t>
      </w:r>
      <w:r>
        <w:rPr>
          <w:rFonts w:hint="eastAsia" w:asciiTheme="minorEastAsia" w:hAnsiTheme="minorEastAsia" w:eastAsiaTheme="minorEastAsia" w:cstheme="minorEastAsia"/>
          <w:b w:val="0"/>
          <w:bCs w:val="0"/>
          <w:color w:val="000000" w:themeColor="text1"/>
          <w:sz w:val="32"/>
          <w:szCs w:val="32"/>
          <w:u w:val="none"/>
          <w14:textFill>
            <w14:solidFill>
              <w14:schemeClr w14:val="tx1"/>
            </w14:solidFill>
          </w14:textFill>
        </w:rPr>
        <w:t>（加挂非物质文化遗产</w:t>
      </w:r>
      <w:r>
        <w:rPr>
          <w:rFonts w:hint="eastAsia" w:asciiTheme="minorEastAsia" w:hAnsiTheme="minorEastAsia" w:eastAsiaTheme="minorEastAsia" w:cstheme="minorEastAsia"/>
          <w:b w:val="0"/>
          <w:bCs w:val="0"/>
          <w:color w:val="000000" w:themeColor="text1"/>
          <w:sz w:val="32"/>
          <w:szCs w:val="32"/>
          <w:u w:val="none"/>
          <w:lang w:eastAsia="zh-CN"/>
          <w14:textFill>
            <w14:solidFill>
              <w14:schemeClr w14:val="tx1"/>
            </w14:solidFill>
          </w14:textFill>
        </w:rPr>
        <w:t>股</w:t>
      </w:r>
      <w:r>
        <w:rPr>
          <w:rFonts w:hint="eastAsia" w:asciiTheme="minorEastAsia" w:hAnsiTheme="minorEastAsia" w:eastAsiaTheme="minorEastAsia" w:cstheme="minorEastAsia"/>
          <w:b w:val="0"/>
          <w:bCs w:val="0"/>
          <w:color w:val="000000" w:themeColor="text1"/>
          <w:sz w:val="32"/>
          <w:szCs w:val="32"/>
          <w:u w:val="none"/>
          <w14:textFill>
            <w14:solidFill>
              <w14:schemeClr w14:val="tx1"/>
            </w14:solidFill>
          </w14:textFill>
        </w:rPr>
        <w:t>牌子）</w:t>
      </w:r>
      <w:r>
        <w:rPr>
          <w:rFonts w:hint="eastAsia" w:asciiTheme="minorEastAsia" w:hAnsiTheme="minorEastAsia" w:eastAsiaTheme="minorEastAsia" w:cstheme="minorEastAsia"/>
          <w:b w:val="0"/>
          <w:bCs w:val="0"/>
          <w:color w:val="000000" w:themeColor="text1"/>
          <w:kern w:val="0"/>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u w:val="none"/>
          <w:shd w:val="clear" w:color="auto" w:fill="auto"/>
          <w:lang w:eastAsia="zh-CN"/>
          <w14:textFill>
            <w14:solidFill>
              <w14:schemeClr w14:val="tx1"/>
            </w14:solidFill>
          </w14:textFill>
        </w:rPr>
        <w:t>市场管理</w:t>
      </w:r>
      <w:r>
        <w:rPr>
          <w:rFonts w:hint="eastAsia" w:asciiTheme="minorEastAsia" w:hAnsiTheme="minorEastAsia" w:eastAsiaTheme="minorEastAsia" w:cstheme="minorEastAsia"/>
          <w:b w:val="0"/>
          <w:bCs w:val="0"/>
          <w:color w:val="000000" w:themeColor="text1"/>
          <w:sz w:val="32"/>
          <w:szCs w:val="32"/>
          <w:u w:val="none"/>
          <w:shd w:val="clear" w:color="auto" w:fill="auto"/>
          <w14:textFill>
            <w14:solidFill>
              <w14:schemeClr w14:val="tx1"/>
            </w14:solidFill>
          </w14:textFill>
        </w:rPr>
        <w:t>股</w:t>
      </w:r>
      <w:r>
        <w:rPr>
          <w:rFonts w:hint="eastAsia" w:asciiTheme="minorEastAsia" w:hAnsiTheme="minorEastAsia" w:eastAsiaTheme="minorEastAsia" w:cstheme="minorEastAsia"/>
          <w:b w:val="0"/>
          <w:bCs w:val="0"/>
          <w:color w:val="000000" w:themeColor="text1"/>
          <w:sz w:val="32"/>
          <w:szCs w:val="32"/>
          <w:u w:val="none"/>
          <w:shd w:val="clear" w:color="auto" w:fill="auto"/>
          <w:lang w:eastAsia="zh-CN"/>
          <w14:textFill>
            <w14:solidFill>
              <w14:schemeClr w14:val="tx1"/>
            </w14:solidFill>
          </w14:textFill>
        </w:rPr>
        <w:t>（加挂行政审批服务股牌子）</w:t>
      </w:r>
      <w:r>
        <w:rPr>
          <w:rFonts w:hint="eastAsia" w:asciiTheme="minorEastAsia" w:hAnsiTheme="minorEastAsia" w:eastAsiaTheme="minorEastAsia" w:cstheme="minorEastAsia"/>
          <w:b w:val="0"/>
          <w:bCs w:val="0"/>
          <w:color w:val="000000" w:themeColor="text1"/>
          <w:kern w:val="0"/>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u w:val="none"/>
          <w:shd w:val="clear" w:color="auto" w:fill="auto"/>
          <w:lang w:eastAsia="zh-CN"/>
          <w14:textFill>
            <w14:solidFill>
              <w14:schemeClr w14:val="tx1"/>
            </w14:solidFill>
          </w14:textFill>
        </w:rPr>
        <w:t>旅游</w:t>
      </w:r>
      <w:r>
        <w:rPr>
          <w:rFonts w:hint="eastAsia" w:asciiTheme="minorEastAsia" w:hAnsiTheme="minorEastAsia" w:eastAsiaTheme="minorEastAsia" w:cstheme="minorEastAsia"/>
          <w:b w:val="0"/>
          <w:bCs w:val="0"/>
          <w:color w:val="000000" w:themeColor="text1"/>
          <w:sz w:val="32"/>
          <w:szCs w:val="32"/>
          <w:u w:val="none"/>
          <w:shd w:val="clear" w:color="auto" w:fill="auto"/>
          <w14:textFill>
            <w14:solidFill>
              <w14:schemeClr w14:val="tx1"/>
            </w14:solidFill>
          </w14:textFill>
        </w:rPr>
        <w:t>股</w:t>
      </w:r>
      <w:r>
        <w:rPr>
          <w:rFonts w:hint="eastAsia" w:asciiTheme="minorEastAsia" w:hAnsiTheme="minorEastAsia" w:eastAsiaTheme="minorEastAsia" w:cstheme="minorEastAsia"/>
          <w:b w:val="0"/>
          <w:bCs w:val="0"/>
          <w:color w:val="000000" w:themeColor="text1"/>
          <w:kern w:val="0"/>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u w:val="none"/>
          <w:shd w:val="clear" w:color="auto" w:fill="auto"/>
          <w14:textFill>
            <w14:solidFill>
              <w14:schemeClr w14:val="tx1"/>
            </w14:solidFill>
          </w14:textFill>
        </w:rPr>
        <w:t>广</w:t>
      </w:r>
      <w:r>
        <w:rPr>
          <w:rFonts w:hint="eastAsia" w:asciiTheme="minorEastAsia" w:hAnsiTheme="minorEastAsia" w:eastAsiaTheme="minorEastAsia" w:cstheme="minorEastAsia"/>
          <w:b w:val="0"/>
          <w:bCs w:val="0"/>
          <w:color w:val="000000" w:themeColor="text1"/>
          <w:sz w:val="32"/>
          <w:szCs w:val="32"/>
          <w:u w:val="none"/>
          <w:shd w:val="clear" w:color="auto" w:fill="auto"/>
          <w:lang w:eastAsia="zh-CN"/>
          <w14:textFill>
            <w14:solidFill>
              <w14:schemeClr w14:val="tx1"/>
            </w14:solidFill>
          </w14:textFill>
        </w:rPr>
        <w:t>播电视</w:t>
      </w:r>
      <w:r>
        <w:rPr>
          <w:rFonts w:hint="eastAsia" w:asciiTheme="minorEastAsia" w:hAnsiTheme="minorEastAsia" w:eastAsiaTheme="minorEastAsia" w:cstheme="minorEastAsia"/>
          <w:b w:val="0"/>
          <w:bCs w:val="0"/>
          <w:color w:val="000000" w:themeColor="text1"/>
          <w:sz w:val="32"/>
          <w:szCs w:val="32"/>
          <w:u w:val="none"/>
          <w:shd w:val="clear" w:color="auto" w:fill="auto"/>
          <w14:textFill>
            <w14:solidFill>
              <w14:schemeClr w14:val="tx1"/>
            </w14:solidFill>
          </w14:textFill>
        </w:rPr>
        <w:t>股</w:t>
      </w:r>
      <w:r>
        <w:rPr>
          <w:rFonts w:hint="eastAsia" w:asciiTheme="minorEastAsia" w:hAnsiTheme="minorEastAsia" w:eastAsiaTheme="minorEastAsia" w:cstheme="minorEastAsia"/>
          <w:b w:val="0"/>
          <w:bCs w:val="0"/>
          <w:color w:val="000000" w:themeColor="text1"/>
          <w:kern w:val="0"/>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u w:val="none"/>
          <w:shd w:val="clear" w:color="auto" w:fill="auto"/>
          <w14:textFill>
            <w14:solidFill>
              <w14:schemeClr w14:val="tx1"/>
            </w14:solidFill>
          </w14:textFill>
        </w:rPr>
        <w:t>群众体育股</w:t>
      </w:r>
      <w:r>
        <w:rPr>
          <w:rFonts w:hint="eastAsia" w:asciiTheme="minorEastAsia" w:hAnsiTheme="minorEastAsia" w:eastAsiaTheme="minorEastAsia" w:cstheme="minorEastAsia"/>
          <w:b w:val="0"/>
          <w:bCs w:val="0"/>
          <w:color w:val="000000" w:themeColor="text1"/>
          <w:kern w:val="0"/>
          <w:sz w:val="32"/>
          <w:szCs w:val="32"/>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u w:val="none"/>
          <w:shd w:val="clear" w:color="auto" w:fill="auto"/>
          <w14:textFill>
            <w14:solidFill>
              <w14:schemeClr w14:val="tx1"/>
            </w14:solidFill>
          </w14:textFill>
        </w:rPr>
        <w:t>青少年体育股</w:t>
      </w:r>
      <w:r>
        <w:rPr>
          <w:rFonts w:hint="eastAsia" w:asciiTheme="minorEastAsia" w:hAnsiTheme="minorEastAsia" w:eastAsiaTheme="minorEastAsia" w:cstheme="minorEastAsia"/>
          <w:b w:val="0"/>
          <w:bCs w:val="0"/>
          <w:color w:val="000000" w:themeColor="text1"/>
          <w:kern w:val="0"/>
          <w:sz w:val="32"/>
          <w:szCs w:val="32"/>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2"/>
          <w14:textFill>
            <w14:solidFill>
              <w14:schemeClr w14:val="tx1"/>
            </w14:solidFill>
          </w14:textFill>
        </w:rPr>
        <w:t>个。</w:t>
      </w:r>
    </w:p>
    <w:p>
      <w:pPr>
        <w:keepNext w:val="0"/>
        <w:keepLines w:val="0"/>
        <w:pageBreakBefore w:val="0"/>
        <w:widowControl/>
        <w:kinsoku/>
        <w:wordWrap/>
        <w:overflowPunct/>
        <w:topLinePunct w:val="0"/>
        <w:bidi w:val="0"/>
        <w:snapToGrid/>
        <w:spacing w:line="240" w:lineRule="auto"/>
        <w:ind w:firstLine="640" w:firstLineChars="200"/>
        <w:textAlignment w:val="auto"/>
        <w:rPr>
          <w:rFonts w:ascii="宋体"/>
          <w:color w:val="000000" w:themeColor="text1"/>
          <w:sz w:val="32"/>
          <w:szCs w:val="32"/>
          <w14:textFill>
            <w14:solidFill>
              <w14:schemeClr w14:val="tx1"/>
            </w14:solidFill>
          </w14:textFill>
        </w:rPr>
      </w:pPr>
      <w:r>
        <w:rPr>
          <w:rFonts w:hint="eastAsia" w:ascii="宋体" w:hAnsi="宋体"/>
          <w:bCs/>
          <w:color w:val="000000" w:themeColor="text1"/>
          <w:kern w:val="0"/>
          <w:sz w:val="32"/>
          <w:szCs w:val="32"/>
          <w14:textFill>
            <w14:solidFill>
              <w14:schemeClr w14:val="tx1"/>
            </w14:solidFill>
          </w14:textFill>
        </w:rPr>
        <w:t>（二）决算单位构成。</w:t>
      </w:r>
      <w:r>
        <w:rPr>
          <w:rFonts w:hint="eastAsia" w:ascii="宋体"/>
          <w:bCs/>
          <w:color w:val="000000" w:themeColor="text1"/>
          <w:kern w:val="0"/>
          <w:sz w:val="32"/>
          <w:szCs w:val="32"/>
          <w14:textFill>
            <w14:solidFill>
              <w14:schemeClr w14:val="tx1"/>
            </w14:solidFill>
          </w14:textFill>
        </w:rPr>
        <w:t>本</w:t>
      </w:r>
      <w:r>
        <w:rPr>
          <w:rFonts w:hint="eastAsia" w:ascii="宋体" w:hAnsi="宋体"/>
          <w:bCs/>
          <w:color w:val="000000" w:themeColor="text1"/>
          <w:kern w:val="0"/>
          <w:sz w:val="32"/>
          <w:szCs w:val="32"/>
          <w14:textFill>
            <w14:solidFill>
              <w14:schemeClr w14:val="tx1"/>
            </w14:solidFill>
          </w14:textFill>
        </w:rPr>
        <w:t>单位</w:t>
      </w:r>
      <w:r>
        <w:rPr>
          <w:rFonts w:ascii="宋体" w:hAnsi="宋体"/>
          <w:bCs/>
          <w:color w:val="000000" w:themeColor="text1"/>
          <w:kern w:val="0"/>
          <w:sz w:val="32"/>
          <w:szCs w:val="32"/>
          <w14:textFill>
            <w14:solidFill>
              <w14:schemeClr w14:val="tx1"/>
            </w14:solidFill>
          </w14:textFill>
        </w:rPr>
        <w:t>2019</w:t>
      </w:r>
      <w:r>
        <w:rPr>
          <w:rFonts w:hint="eastAsia" w:ascii="宋体" w:hAnsi="宋体"/>
          <w:bCs/>
          <w:color w:val="000000" w:themeColor="text1"/>
          <w:kern w:val="0"/>
          <w:sz w:val="32"/>
          <w:szCs w:val="32"/>
          <w14:textFill>
            <w14:solidFill>
              <w14:schemeClr w14:val="tx1"/>
            </w14:solidFill>
          </w14:textFill>
        </w:rPr>
        <w:t>年部门决算汇总公开单位构成包括：单位本级以及</w:t>
      </w:r>
      <w:r>
        <w:rPr>
          <w:rFonts w:hint="eastAsia" w:asciiTheme="majorEastAsia" w:hAnsiTheme="majorEastAsia" w:eastAsiaTheme="majorEastAsia" w:cstheme="majorEastAsia"/>
          <w:bCs/>
          <w:color w:val="000000" w:themeColor="text1"/>
          <w:kern w:val="0"/>
          <w:sz w:val="32"/>
          <w:szCs w:val="32"/>
          <w:lang w:eastAsia="zh-CN"/>
          <w14:textFill>
            <w14:solidFill>
              <w14:schemeClr w14:val="tx1"/>
            </w14:solidFill>
          </w14:textFill>
        </w:rPr>
        <w:t>二级预算单位文物局、业余体校（含老年体协）、</w:t>
      </w:r>
      <w:r>
        <w:rPr>
          <w:rFonts w:hint="eastAsia" w:asciiTheme="minorEastAsia" w:hAnsiTheme="minorEastAsia" w:eastAsiaTheme="minorEastAsia" w:cstheme="minorEastAsia"/>
          <w:b w:val="0"/>
          <w:bCs w:val="0"/>
          <w:i w:val="0"/>
          <w:caps w:val="0"/>
          <w:color w:val="000000" w:themeColor="text1"/>
          <w:spacing w:val="0"/>
          <w:sz w:val="32"/>
          <w:szCs w:val="32"/>
          <w:shd w:val="clear" w:fill="FFFFFF"/>
          <w14:textFill>
            <w14:solidFill>
              <w14:schemeClr w14:val="tx1"/>
            </w14:solidFill>
          </w14:textFill>
        </w:rPr>
        <w:t>全民健身服务中心</w:t>
      </w:r>
      <w:r>
        <w:rPr>
          <w:rFonts w:hint="eastAsia" w:asciiTheme="majorEastAsia" w:hAnsiTheme="majorEastAsia" w:eastAsiaTheme="majorEastAsia" w:cstheme="majorEastAsia"/>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643" w:firstLineChars="200"/>
        <w:textAlignment w:val="auto"/>
        <w:rPr>
          <w:rFonts w:hint="eastAsia" w:eastAsia="仿宋_GB2312"/>
          <w:b/>
          <w:bCs/>
          <w:color w:val="000000" w:themeColor="text1"/>
          <w:sz w:val="32"/>
          <w:szCs w:val="32"/>
          <w:lang w:eastAsia="zh-CN"/>
          <w14:textFill>
            <w14:solidFill>
              <w14:schemeClr w14:val="tx1"/>
            </w14:solidFill>
          </w14:textFill>
        </w:rPr>
      </w:pPr>
      <w:r>
        <w:rPr>
          <w:rFonts w:hint="eastAsia" w:ascii="黑体" w:hAnsi="黑体" w:eastAsia="黑体" w:cs="Times New Roman"/>
          <w:b/>
          <w:bCs/>
          <w:color w:val="000000" w:themeColor="text1"/>
          <w:kern w:val="2"/>
          <w:sz w:val="32"/>
          <w:szCs w:val="32"/>
          <w:lang w:val="en-US" w:eastAsia="zh-CN" w:bidi="ar-SA"/>
          <w14:textFill>
            <w14:solidFill>
              <w14:schemeClr w14:val="tx1"/>
            </w14:solidFill>
          </w14:textFill>
        </w:rPr>
        <w:t>（三）</w:t>
      </w:r>
      <w:r>
        <w:rPr>
          <w:rFonts w:hint="eastAsia" w:eastAsia="仿宋_GB2312"/>
          <w:b/>
          <w:bCs/>
          <w:color w:val="000000" w:themeColor="text1"/>
          <w:sz w:val="32"/>
          <w:szCs w:val="32"/>
          <w14:textFill>
            <w14:solidFill>
              <w14:schemeClr w14:val="tx1"/>
            </w14:solidFill>
          </w14:textFill>
        </w:rPr>
        <w:t>2019年度部门决算收入支出决算总体情况说明</w:t>
      </w:r>
      <w:r>
        <w:rPr>
          <w:rFonts w:hint="eastAsia" w:eastAsia="仿宋_GB2312"/>
          <w:b/>
          <w:bCs/>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640" w:firstLineChars="200"/>
        <w:textAlignment w:val="auto"/>
        <w:rPr>
          <w:rFonts w:hint="eastAsia" w:ascii="宋体" w:hAnsi="宋体" w:eastAsia="宋体"/>
          <w:color w:val="000000" w:themeColor="text1"/>
          <w:sz w:val="32"/>
          <w:szCs w:val="32"/>
          <w:lang w:eastAsia="zh-CN"/>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t xml:space="preserve">2019 </w:t>
      </w:r>
      <w:r>
        <w:rPr>
          <w:rFonts w:hint="eastAsia" w:ascii="宋体" w:hAnsi="宋体" w:eastAsia="宋体"/>
          <w:color w:val="000000" w:themeColor="text1"/>
          <w:sz w:val="32"/>
          <w:szCs w:val="32"/>
          <w14:textFill>
            <w14:solidFill>
              <w14:schemeClr w14:val="tx1"/>
            </w14:solidFill>
          </w14:textFill>
        </w:rPr>
        <w:t>年度收、支总计</w:t>
      </w:r>
      <w:r>
        <w:rPr>
          <w:rFonts w:hint="eastAsia" w:ascii="宋体" w:hAnsi="宋体" w:eastAsia="宋体"/>
          <w:color w:val="000000" w:themeColor="text1"/>
          <w:sz w:val="32"/>
          <w:szCs w:val="32"/>
          <w:lang w:val="en-US" w:eastAsia="zh-CN"/>
          <w14:textFill>
            <w14:solidFill>
              <w14:schemeClr w14:val="tx1"/>
            </w14:solidFill>
          </w14:textFill>
        </w:rPr>
        <w:t>1881.1</w:t>
      </w:r>
      <w:r>
        <w:rPr>
          <w:rFonts w:hint="eastAsia" w:ascii="宋体" w:hAnsi="宋体" w:eastAsia="宋体"/>
          <w:color w:val="000000" w:themeColor="text1"/>
          <w:sz w:val="32"/>
          <w:szCs w:val="32"/>
          <w14:textFill>
            <w14:solidFill>
              <w14:schemeClr w14:val="tx1"/>
            </w14:solidFill>
          </w14:textFill>
        </w:rPr>
        <w:t>万元。与</w:t>
      </w:r>
      <w:r>
        <w:rPr>
          <w:rFonts w:ascii="宋体" w:hAnsi="宋体" w:eastAsia="宋体"/>
          <w:color w:val="000000" w:themeColor="text1"/>
          <w:sz w:val="32"/>
          <w:szCs w:val="32"/>
          <w14:textFill>
            <w14:solidFill>
              <w14:schemeClr w14:val="tx1"/>
            </w14:solidFill>
          </w14:textFill>
        </w:rPr>
        <w:t>2018</w:t>
      </w:r>
      <w:r>
        <w:rPr>
          <w:rFonts w:hint="eastAsia" w:ascii="宋体" w:hAnsi="宋体" w:eastAsia="宋体"/>
          <w:color w:val="000000" w:themeColor="text1"/>
          <w:sz w:val="32"/>
          <w:szCs w:val="32"/>
          <w14:textFill>
            <w14:solidFill>
              <w14:schemeClr w14:val="tx1"/>
            </w14:solidFill>
          </w14:textFill>
        </w:rPr>
        <w:t>年相比，增加</w:t>
      </w:r>
      <w:r>
        <w:rPr>
          <w:rFonts w:hint="eastAsia" w:ascii="宋体" w:hAnsi="宋体" w:eastAsia="宋体"/>
          <w:color w:val="000000" w:themeColor="text1"/>
          <w:sz w:val="32"/>
          <w:szCs w:val="32"/>
          <w:lang w:val="en-US" w:eastAsia="zh-CN"/>
          <w14:textFill>
            <w14:solidFill>
              <w14:schemeClr w14:val="tx1"/>
            </w14:solidFill>
          </w14:textFill>
        </w:rPr>
        <w:t>429.16</w:t>
      </w:r>
      <w:r>
        <w:rPr>
          <w:rFonts w:hint="eastAsia" w:ascii="宋体" w:hAnsi="宋体" w:eastAsia="宋体"/>
          <w:color w:val="000000" w:themeColor="text1"/>
          <w:sz w:val="32"/>
          <w:szCs w:val="32"/>
          <w14:textFill>
            <w14:solidFill>
              <w14:schemeClr w14:val="tx1"/>
            </w14:solidFill>
          </w14:textFill>
        </w:rPr>
        <w:t>万元，</w:t>
      </w:r>
      <w:r>
        <w:rPr>
          <w:rFonts w:hint="eastAsia" w:ascii="宋体" w:hAnsi="宋体" w:eastAsia="宋体"/>
          <w:color w:val="000000" w:themeColor="text1"/>
          <w:sz w:val="32"/>
          <w:szCs w:val="32"/>
          <w:lang w:eastAsia="zh-CN"/>
          <w14:textFill>
            <w14:solidFill>
              <w14:schemeClr w14:val="tx1"/>
            </w14:solidFill>
          </w14:textFill>
        </w:rPr>
        <w:t>增长</w:t>
      </w:r>
      <w:r>
        <w:rPr>
          <w:rFonts w:hint="eastAsia" w:ascii="宋体" w:hAnsi="宋体" w:eastAsia="宋体"/>
          <w:color w:val="000000" w:themeColor="text1"/>
          <w:sz w:val="32"/>
          <w:szCs w:val="32"/>
          <w:lang w:val="en-US" w:eastAsia="zh-CN"/>
          <w14:textFill>
            <w14:solidFill>
              <w14:schemeClr w14:val="tx1"/>
            </w14:solidFill>
          </w14:textFill>
        </w:rPr>
        <w:t>29.56</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14:textFill>
            <w14:solidFill>
              <w14:schemeClr w14:val="tx1"/>
            </w14:solidFill>
          </w14:textFill>
        </w:rPr>
        <w:t>，主要是因为</w:t>
      </w:r>
      <w:r>
        <w:rPr>
          <w:rFonts w:hint="eastAsia" w:ascii="宋体" w:hAnsi="宋体" w:eastAsia="宋体"/>
          <w:color w:val="000000" w:themeColor="text1"/>
          <w:sz w:val="32"/>
          <w:szCs w:val="32"/>
          <w:lang w:eastAsia="zh-CN"/>
          <w14:textFill>
            <w14:solidFill>
              <w14:schemeClr w14:val="tx1"/>
            </w14:solidFill>
          </w14:textFill>
        </w:rPr>
        <w:t>旅游局并入本单位。</w:t>
      </w:r>
    </w:p>
    <w:p>
      <w:pPr>
        <w:keepNext w:val="0"/>
        <w:keepLines w:val="0"/>
        <w:pageBreakBefore w:val="0"/>
        <w:widowControl/>
        <w:kinsoku/>
        <w:wordWrap/>
        <w:overflowPunct/>
        <w:topLinePunct w:val="0"/>
        <w:bidi w:val="0"/>
        <w:snapToGrid/>
        <w:spacing w:line="240" w:lineRule="auto"/>
        <w:ind w:firstLine="643" w:firstLineChars="200"/>
        <w:textAlignment w:val="auto"/>
        <w:rPr>
          <w:rFonts w:hint="eastAsia" w:ascii="黑体" w:hAnsi="黑体" w:eastAsia="黑体" w:cs="Times New Roman"/>
          <w:b/>
          <w:bCs/>
          <w:color w:val="000000" w:themeColor="text1"/>
          <w:kern w:val="2"/>
          <w:sz w:val="32"/>
          <w:szCs w:val="32"/>
          <w:lang w:val="en-US" w:eastAsia="zh-CN" w:bidi="ar-SA"/>
          <w14:textFill>
            <w14:solidFill>
              <w14:schemeClr w14:val="tx1"/>
            </w14:solidFill>
          </w14:textFill>
        </w:rPr>
      </w:pPr>
      <w:r>
        <w:rPr>
          <w:rFonts w:hint="eastAsia" w:ascii="黑体" w:hAnsi="黑体" w:eastAsia="黑体" w:cs="Times New Roman"/>
          <w:b/>
          <w:bCs/>
          <w:color w:val="000000" w:themeColor="text1"/>
          <w:kern w:val="2"/>
          <w:sz w:val="32"/>
          <w:szCs w:val="32"/>
          <w:lang w:val="en-US" w:eastAsia="zh-CN" w:bidi="ar-SA"/>
          <w14:textFill>
            <w14:solidFill>
              <w14:schemeClr w14:val="tx1"/>
            </w14:solidFill>
          </w14:textFill>
        </w:rPr>
        <w:t>（四）财政财务管理制度及执行情况。</w:t>
      </w:r>
    </w:p>
    <w:p>
      <w:pPr>
        <w:keepNext w:val="0"/>
        <w:keepLines w:val="0"/>
        <w:pageBreakBefore w:val="0"/>
        <w:kinsoku/>
        <w:wordWrap/>
        <w:overflowPunct/>
        <w:topLinePunct w:val="0"/>
        <w:bidi w:val="0"/>
        <w:snapToGrid/>
        <w:spacing w:line="240" w:lineRule="auto"/>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根据邵</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办文</w:t>
      </w:r>
      <w:r>
        <w:rPr>
          <w:rFonts w:hint="eastAsia" w:asciiTheme="minorEastAsia" w:hAnsiTheme="minorEastAsia" w:eastAsiaTheme="minorEastAsia" w:cstheme="minorEastAsia"/>
          <w:color w:val="000000" w:themeColor="text1"/>
          <w:sz w:val="32"/>
          <w:szCs w:val="32"/>
          <w14:textFill>
            <w14:solidFill>
              <w14:schemeClr w14:val="tx1"/>
            </w14:solidFill>
          </w14:textFill>
        </w:rPr>
        <w:t>〔201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32"/>
          <w:szCs w:val="32"/>
          <w14:textFill>
            <w14:solidFill>
              <w14:schemeClr w14:val="tx1"/>
            </w14:solidFill>
          </w14:textFill>
        </w:rPr>
        <w:t>号、邵办文〔201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32"/>
          <w:szCs w:val="32"/>
          <w14:textFill>
            <w14:solidFill>
              <w14:schemeClr w14:val="tx1"/>
            </w14:solidFill>
          </w14:textFill>
        </w:rPr>
        <w:t>号</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邵</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财行</w:t>
      </w:r>
      <w:r>
        <w:rPr>
          <w:rFonts w:hint="eastAsia" w:asciiTheme="minorEastAsia" w:hAnsiTheme="minorEastAsia" w:eastAsiaTheme="minorEastAsia" w:cstheme="minorEastAsia"/>
          <w:color w:val="000000" w:themeColor="text1"/>
          <w:sz w:val="32"/>
          <w:szCs w:val="32"/>
          <w14:textFill>
            <w14:solidFill>
              <w14:schemeClr w14:val="tx1"/>
            </w14:solidFill>
          </w14:textFill>
        </w:rPr>
        <w:t>〔201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32</w:t>
      </w:r>
      <w:r>
        <w:rPr>
          <w:rFonts w:hint="eastAsia" w:asciiTheme="minorEastAsia" w:hAnsiTheme="minorEastAsia" w:eastAsiaTheme="minorEastAsia" w:cstheme="minorEastAsia"/>
          <w:color w:val="000000" w:themeColor="text1"/>
          <w:sz w:val="32"/>
          <w:szCs w:val="32"/>
          <w14:textFill>
            <w14:solidFill>
              <w14:schemeClr w14:val="tx1"/>
            </w14:solidFill>
          </w14:textFill>
        </w:rPr>
        <w:t>号和邵</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财行</w:t>
      </w:r>
      <w:r>
        <w:rPr>
          <w:rFonts w:hint="eastAsia" w:asciiTheme="minorEastAsia" w:hAnsiTheme="minorEastAsia" w:eastAsiaTheme="minorEastAsia" w:cstheme="minorEastAsia"/>
          <w:color w:val="000000" w:themeColor="text1"/>
          <w:sz w:val="32"/>
          <w:szCs w:val="32"/>
          <w14:textFill>
            <w14:solidFill>
              <w14:schemeClr w14:val="tx1"/>
            </w14:solidFill>
          </w14:textFill>
        </w:rPr>
        <w:t>〔201</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2"/>
          <w:szCs w:val="32"/>
          <w14:textFill>
            <w14:solidFill>
              <w14:schemeClr w14:val="tx1"/>
            </w14:solidFill>
          </w14:textFill>
        </w:rPr>
        <w:t>号文件精神，结合我</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委</w:t>
      </w:r>
      <w:r>
        <w:rPr>
          <w:rFonts w:hint="eastAsia" w:asciiTheme="minorEastAsia" w:hAnsiTheme="minorEastAsia" w:eastAsiaTheme="minorEastAsia" w:cstheme="minorEastAsia"/>
          <w:color w:val="000000" w:themeColor="text1"/>
          <w:sz w:val="32"/>
          <w:szCs w:val="32"/>
          <w14:textFill>
            <w14:solidFill>
              <w14:schemeClr w14:val="tx1"/>
            </w14:solidFill>
          </w14:textFill>
        </w:rPr>
        <w:t>实际，</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制定了《</w:t>
      </w:r>
      <w:r>
        <w:rPr>
          <w:rFonts w:hint="eastAsia" w:asciiTheme="minorEastAsia" w:hAnsiTheme="minorEastAsia" w:eastAsiaTheme="minorEastAsia" w:cstheme="minorEastAsia"/>
          <w:color w:val="000000" w:themeColor="text1"/>
          <w:sz w:val="32"/>
          <w:szCs w:val="32"/>
          <w14:textFill>
            <w14:solidFill>
              <w14:schemeClr w14:val="tx1"/>
            </w14:solidFill>
          </w14:textFill>
        </w:rPr>
        <w:t>邵东市文化旅游广电体育局财务管理办法》，各项目资金执行率100%，执行情况良好。</w:t>
      </w:r>
    </w:p>
    <w:p>
      <w:pPr>
        <w:keepNext w:val="0"/>
        <w:keepLines w:val="0"/>
        <w:pageBreakBefore w:val="0"/>
        <w:kinsoku/>
        <w:wordWrap/>
        <w:overflowPunct/>
        <w:topLinePunct w:val="0"/>
        <w:bidi w:val="0"/>
        <w:snapToGrid/>
        <w:spacing w:line="240" w:lineRule="auto"/>
        <w:ind w:firstLine="614" w:firstLineChars="192"/>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二、部门（单位）整体支出绩效状况</w:t>
      </w:r>
    </w:p>
    <w:p>
      <w:pPr>
        <w:pStyle w:val="9"/>
        <w:keepNext w:val="0"/>
        <w:keepLines w:val="0"/>
        <w:pageBreakBefore w:val="0"/>
        <w:kinsoku/>
        <w:wordWrap/>
        <w:overflowPunct/>
        <w:topLinePunct w:val="0"/>
        <w:bidi w:val="0"/>
        <w:snapToGrid/>
        <w:spacing w:line="240" w:lineRule="auto"/>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本年支出合计</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1881.1</w:t>
      </w:r>
      <w:r>
        <w:rPr>
          <w:rFonts w:hint="eastAsia" w:asciiTheme="minorEastAsia" w:hAnsiTheme="minorEastAsia" w:eastAsiaTheme="minorEastAsia" w:cstheme="minorEastAsia"/>
          <w:color w:val="000000" w:themeColor="text1"/>
          <w:sz w:val="32"/>
          <w:szCs w:val="32"/>
          <w14:textFill>
            <w14:solidFill>
              <w14:schemeClr w14:val="tx1"/>
            </w14:solidFill>
          </w14:textFill>
        </w:rPr>
        <w:t>万元，其中：基本支出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669.18</w:t>
      </w:r>
      <w:r>
        <w:rPr>
          <w:rFonts w:hint="eastAsia" w:asciiTheme="minorEastAsia" w:hAnsiTheme="minorEastAsia" w:eastAsiaTheme="minorEastAsia" w:cs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35.57</w:t>
      </w:r>
      <w:r>
        <w:rPr>
          <w:rFonts w:hint="eastAsia" w:asciiTheme="minorEastAsia" w:hAnsiTheme="minorEastAsia" w:eastAsiaTheme="minorEastAsia" w:cstheme="minorEastAsia"/>
          <w:color w:val="000000" w:themeColor="text1"/>
          <w:sz w:val="32"/>
          <w:szCs w:val="32"/>
          <w14:textFill>
            <w14:solidFill>
              <w14:schemeClr w14:val="tx1"/>
            </w14:solidFill>
          </w14:textFill>
        </w:rPr>
        <w:t>%；项目支出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1211.92</w:t>
      </w:r>
      <w:r>
        <w:rPr>
          <w:rFonts w:hint="eastAsia" w:asciiTheme="minorEastAsia" w:hAnsiTheme="minorEastAsia" w:eastAsiaTheme="minorEastAsia" w:cs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64.43</w:t>
      </w:r>
      <w:r>
        <w:rPr>
          <w:rFonts w:hint="eastAsia" w:asciiTheme="minorEastAsia" w:hAnsiTheme="minorEastAsia" w:eastAsiaTheme="minorEastAsia" w:cstheme="minorEastAsia"/>
          <w:color w:val="000000" w:themeColor="text1"/>
          <w:sz w:val="32"/>
          <w:szCs w:val="32"/>
          <w14:textFill>
            <w14:solidFill>
              <w14:schemeClr w14:val="tx1"/>
            </w14:solidFill>
          </w14:textFill>
        </w:rPr>
        <w:t>%；经营支出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项目支出主要用于开展</w:t>
      </w:r>
      <w:r>
        <w:rPr>
          <w:rFonts w:hint="eastAsia" w:asciiTheme="minorEastAsia" w:hAnsiTheme="minorEastAsia" w:eastAsiaTheme="minorEastAsia" w:cstheme="minorEastAsia"/>
          <w:color w:val="000000" w:themeColor="text1"/>
          <w:sz w:val="32"/>
          <w:szCs w:val="32"/>
          <w14:textFill>
            <w14:solidFill>
              <w14:schemeClr w14:val="tx1"/>
            </w14:solidFill>
          </w14:textFill>
        </w:rPr>
        <w:t>现代公共文化服务体系</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建设</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文化遗产保护</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文旅广体活动</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文旅广体市场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监管、</w:t>
      </w:r>
      <w:r>
        <w:rPr>
          <w:rFonts w:hint="eastAsia" w:asciiTheme="minorEastAsia" w:hAnsiTheme="minorEastAsia" w:eastAsiaTheme="minorEastAsia" w:cstheme="minorEastAsia"/>
          <w:color w:val="000000" w:themeColor="text1"/>
          <w:sz w:val="32"/>
          <w:szCs w:val="32"/>
          <w14:textFill>
            <w14:solidFill>
              <w14:schemeClr w14:val="tx1"/>
            </w14:solidFill>
          </w14:textFill>
        </w:rPr>
        <w:t>“扫黄打非”</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等工作。</w:t>
      </w:r>
    </w:p>
    <w:p>
      <w:pPr>
        <w:keepNext w:val="0"/>
        <w:keepLines w:val="0"/>
        <w:pageBreakBefore w:val="0"/>
        <w:kinsoku/>
        <w:wordWrap/>
        <w:overflowPunct/>
        <w:topLinePunct w:val="0"/>
        <w:bidi w:val="0"/>
        <w:snapToGrid/>
        <w:spacing w:line="240" w:lineRule="auto"/>
        <w:ind w:firstLine="614" w:firstLineChars="192"/>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三、存在的问题及原因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480"/>
        <w:jc w:val="both"/>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1.公用经费严重不足。部门单位的公用经费由财政部门按照定额编制预算，定额标准体系的不健全从根源上导致了公用经费支出的不规范和项目化。主要表现在以下两个方面，一是部门正常运转的各项支出都有所提高，但标准并未相应调整，不能满足现实需要；二是部门在实际运转过程中，存在无预算，但必须支出的工作经费情况，如“</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val="en-US" w:eastAsia="zh-CN"/>
          <w14:textFill>
            <w14:solidFill>
              <w14:schemeClr w14:val="tx1"/>
            </w14:solidFill>
          </w14:textFill>
        </w:rPr>
        <w:t>绩效</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val="en-US" w:eastAsia="zh-CN"/>
          <w14:textFill>
            <w14:solidFill>
              <w14:schemeClr w14:val="tx1"/>
            </w14:solidFill>
          </w14:textFill>
        </w:rPr>
        <w:t>文明单位、综治</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”奖励、</w:t>
      </w:r>
      <w:r>
        <w:rPr>
          <w:rFonts w:hint="eastAsia" w:asciiTheme="minorEastAsia" w:hAnsiTheme="minorEastAsia" w:eastAsiaTheme="minorEastAsia" w:cstheme="minorEastAsia"/>
          <w:b w:val="0"/>
          <w:bCs w:val="0"/>
          <w:color w:val="000000" w:themeColor="text1"/>
          <w:kern w:val="0"/>
          <w:sz w:val="32"/>
          <w:szCs w:val="32"/>
          <w:lang w:eastAsia="zh-CN"/>
          <w14:textFill>
            <w14:solidFill>
              <w14:schemeClr w14:val="tx1"/>
            </w14:solidFill>
          </w14:textFill>
        </w:rPr>
        <w:t>付帮扶村的资金物资</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和扶贫抽调驻村工作人员生活补贴、交通补贴等，公用经费的严重不足导致了挤占项目经费。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480"/>
        <w:jc w:val="both"/>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2.预算执行存在偏差。部分项目财政并未能按照预算申报金额批准，有的甚至严重短缺，导致部分项目只能降低标准实行或挤占其他项目经费。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480"/>
        <w:jc w:val="both"/>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3.公共文化体育服务基础设施</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建设滞后，</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难以满足广大人民群众的需要。目前，我</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没有</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级博物馆、美术馆；没有</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级旅游接待中心、没有网络监控平台中心；</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图书馆、文化馆、花鼓戏剧院等场馆馆舍陈旧、设施简陋老化</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；体育健身活动场馆建设跟不上群众日益增长的健身需求；城乡公共文体服务阵地与</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val="en-US" w:eastAsia="zh-CN"/>
          <w14:textFill>
            <w14:solidFill>
              <w14:schemeClr w14:val="tx1"/>
            </w14:solidFill>
          </w14:textFill>
        </w:rPr>
        <w:t>省市要求</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还有较大差距。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48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4、文物保护工作。文物保护单位及文物点多数因年代久远、缺乏维修保护，特别是古建筑类文物日常保养维护经费不足，存在较大安全隐患。专业技术人员严重缺乏，文物保护队伍亟待充实提高。</w:t>
      </w:r>
    </w:p>
    <w:p>
      <w:pPr>
        <w:keepNext w:val="0"/>
        <w:keepLines w:val="0"/>
        <w:pageBreakBefore w:val="0"/>
        <w:kinsoku/>
        <w:wordWrap/>
        <w:overflowPunct/>
        <w:topLinePunct w:val="0"/>
        <w:bidi w:val="0"/>
        <w:snapToGrid/>
        <w:spacing w:line="240" w:lineRule="auto"/>
        <w:ind w:firstLine="614" w:firstLineChars="192"/>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四、提高财政资金绩效的措施与建议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480"/>
        <w:jc w:val="both"/>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1.牢固树立过紧日子的思想。坚持按照</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委</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政府“建设节约型”机关工作要求，严格实施精准预算，局机关除确保工资待遇、正常运转外，严控各项公用支出，如压减办公家具、办公电器的采购，加强办公用品的采领管理等，将单位基本支出控制在限额以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480"/>
        <w:jc w:val="both"/>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2.建议完善公用经费定额标准体系。首先标准要和国家方针政策、社会经济发展状况相适应，随物价水平的波动而自动调整；其次要坚持区别对待的原则，根据部门预算单位具体职能的不同，制定不同的标准，实现相对公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480"/>
        <w:jc w:val="both"/>
        <w:textAlignment w:val="auto"/>
        <w:rPr>
          <w:rFonts w:hint="eastAsia" w:asciiTheme="minorEastAsia" w:hAnsiTheme="minorEastAsia" w:eastAsiaTheme="minorEastAsia" w:cstheme="minorEastAsia"/>
          <w:i w:val="0"/>
          <w:caps w:val="0"/>
          <w:color w:val="000000" w:themeColor="text1"/>
          <w:spacing w:val="0"/>
          <w:sz w:val="32"/>
          <w:szCs w:val="32"/>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3.完善机制，加强文化人才队伍建设。</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财政配套相关经费，加大专项经费的绩效评估，对确需投入的项目予以优先保障。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480"/>
        <w:jc w:val="both"/>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4.加强</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直机关单位财务人员业务学习与培训工作。加强</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32"/>
          <w:szCs w:val="32"/>
          <w:bdr w:val="none" w:color="auto" w:sz="0" w:space="0"/>
          <w:shd w:val="clear" w:fill="FFFFFF"/>
          <w14:textFill>
            <w14:solidFill>
              <w14:schemeClr w14:val="tx1"/>
            </w14:solidFill>
          </w14:textFill>
        </w:rPr>
        <w:t>直机关单位财务人员新政策新规定等业务学习培训和实操能力，规范部门预算收支核算，及时了解预算执行差异，合理调整、纠正预算执行偏差，切实提高部门预算收支管理水平。</w:t>
      </w:r>
    </w:p>
    <w:p>
      <w:pPr>
        <w:keepNext w:val="0"/>
        <w:keepLines w:val="0"/>
        <w:pageBreakBefore w:val="0"/>
        <w:kinsoku/>
        <w:wordWrap/>
        <w:overflowPunct/>
        <w:topLinePunct w:val="0"/>
        <w:bidi w:val="0"/>
        <w:snapToGrid/>
        <w:spacing w:line="240" w:lineRule="auto"/>
        <w:ind w:firstLine="614" w:firstLineChars="192"/>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五、附件（佐证依据）</w:t>
      </w:r>
    </w:p>
    <w:p>
      <w:pPr>
        <w:keepNext w:val="0"/>
        <w:keepLines w:val="0"/>
        <w:pageBreakBefore w:val="0"/>
        <w:kinsoku/>
        <w:wordWrap/>
        <w:overflowPunct/>
        <w:topLinePunct w:val="0"/>
        <w:bidi w:val="0"/>
        <w:snapToGrid/>
        <w:spacing w:line="240" w:lineRule="auto"/>
        <w:ind w:firstLine="614" w:firstLineChars="192"/>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无。</w:t>
      </w:r>
    </w:p>
    <w:p>
      <w:pPr>
        <w:keepNext w:val="0"/>
        <w:keepLines w:val="0"/>
        <w:pageBreakBefore w:val="0"/>
        <w:kinsoku/>
        <w:wordWrap/>
        <w:overflowPunct/>
        <w:topLinePunct w:val="0"/>
        <w:bidi w:val="0"/>
        <w:snapToGrid/>
        <w:spacing w:line="240" w:lineRule="auto"/>
        <w:textAlignment w:val="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17C88"/>
    <w:rsid w:val="0BAC2C32"/>
    <w:rsid w:val="0D316563"/>
    <w:rsid w:val="0F8007F9"/>
    <w:rsid w:val="10B15A94"/>
    <w:rsid w:val="1535720F"/>
    <w:rsid w:val="16485DBB"/>
    <w:rsid w:val="18E351B8"/>
    <w:rsid w:val="19A33E81"/>
    <w:rsid w:val="1E665298"/>
    <w:rsid w:val="1F7D445E"/>
    <w:rsid w:val="20653D08"/>
    <w:rsid w:val="2361396D"/>
    <w:rsid w:val="242A2382"/>
    <w:rsid w:val="2456009B"/>
    <w:rsid w:val="24984FA0"/>
    <w:rsid w:val="26E01318"/>
    <w:rsid w:val="2AEC6790"/>
    <w:rsid w:val="2B96319A"/>
    <w:rsid w:val="2F6C4FBD"/>
    <w:rsid w:val="32952561"/>
    <w:rsid w:val="35F027D2"/>
    <w:rsid w:val="37917C88"/>
    <w:rsid w:val="37F00461"/>
    <w:rsid w:val="39034DAF"/>
    <w:rsid w:val="39362AA3"/>
    <w:rsid w:val="3A03422F"/>
    <w:rsid w:val="3AF92083"/>
    <w:rsid w:val="3EA309D8"/>
    <w:rsid w:val="40887FA7"/>
    <w:rsid w:val="429D752A"/>
    <w:rsid w:val="447D3C29"/>
    <w:rsid w:val="468E6DBB"/>
    <w:rsid w:val="46DE3CE3"/>
    <w:rsid w:val="470B002E"/>
    <w:rsid w:val="4800273B"/>
    <w:rsid w:val="49F656C4"/>
    <w:rsid w:val="4ACB36D0"/>
    <w:rsid w:val="4B8A4DB6"/>
    <w:rsid w:val="4C264A12"/>
    <w:rsid w:val="4DB85364"/>
    <w:rsid w:val="4FFB4EB2"/>
    <w:rsid w:val="52BC02FE"/>
    <w:rsid w:val="52CB0DED"/>
    <w:rsid w:val="54837A20"/>
    <w:rsid w:val="56327997"/>
    <w:rsid w:val="58D824BC"/>
    <w:rsid w:val="58F65C87"/>
    <w:rsid w:val="59647E3C"/>
    <w:rsid w:val="5A6D135F"/>
    <w:rsid w:val="5AB12774"/>
    <w:rsid w:val="5B0273CA"/>
    <w:rsid w:val="5C7C7827"/>
    <w:rsid w:val="5DA922FE"/>
    <w:rsid w:val="5E6340C0"/>
    <w:rsid w:val="5F1A13F4"/>
    <w:rsid w:val="5F70600F"/>
    <w:rsid w:val="5FCC61AF"/>
    <w:rsid w:val="601F3A59"/>
    <w:rsid w:val="638E3CC1"/>
    <w:rsid w:val="68EA067B"/>
    <w:rsid w:val="68FF29E2"/>
    <w:rsid w:val="6A8D4F3A"/>
    <w:rsid w:val="6AB13B67"/>
    <w:rsid w:val="6C6B33B9"/>
    <w:rsid w:val="707E51F4"/>
    <w:rsid w:val="73C62D4C"/>
    <w:rsid w:val="74D05118"/>
    <w:rsid w:val="77AD1C52"/>
    <w:rsid w:val="7BB075AD"/>
    <w:rsid w:val="7CD013CE"/>
    <w:rsid w:val="7E7A6C26"/>
    <w:rsid w:val="7EF122EB"/>
    <w:rsid w:val="7FD20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List Paragraph"/>
    <w:basedOn w:val="1"/>
    <w:qFormat/>
    <w:uiPriority w:val="99"/>
    <w:pPr>
      <w:ind w:firstLine="420" w:firstLineChars="200"/>
    </w:pPr>
  </w:style>
  <w:style w:type="paragraph" w:customStyle="1" w:styleId="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2020-09-11T03:41:00Z</dcterms:created>
  <dc:creator>acxzz</dc:creator>
  <cp:lastModifiedBy>Lenovo</cp:lastModifiedBy>
  <dcterms:modified xsi:type="dcterms:W3CDTF">2020-09-19T09:08:24Z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