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1BF93">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cs="仿宋_GB2312"/>
          <w:color w:val="000000"/>
        </w:rPr>
      </w:pPr>
      <w:bookmarkStart w:id="0" w:name="_Hlk518585752"/>
      <w:bookmarkEnd w:id="0"/>
      <w:r>
        <w:rPr>
          <w:snapToGrid w:val="0"/>
          <w:color w:val="000000"/>
          <w:szCs w:val="22"/>
          <w:lang w:bidi="ar"/>
        </w:rPr>
        <w:pict>
          <v:shape id="文本框 8" o:spid="_x0000_s1026" o:spt="202" type="#_x0000_t202" style="position:absolute;left:0pt;margin-left:3.75pt;margin-top:8.4pt;height:37.8pt;width:126pt;z-index:251660288;mso-width-relative:page;mso-height-relative:page;" fillcolor="#FFFFFF" filled="t" stroked="f" coordsize="21600,21600" o:gfxdata="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jH8JO1gAAAAYB&#10;AAAPAAAAAAAAAAEAIAAAACIAAABkcnMvZG93bnJldi54bWxQSwECFAAUAAAACACHTuJAOMIJgeQB&#10;AADAAwAADgAAAAAAAAABACAAAAAlAQAAZHJzL2Uyb0RvYy54bWxQSwUGAAAAAAYABgBZAQAAewUA&#10;AAAA&#10;">
            <v:path/>
            <v:fill on="t" focussize="0,0"/>
            <v:stroke on="f"/>
            <v:imagedata o:title=""/>
            <o:lock v:ext="edit" aspectratio="f"/>
            <v:textbox inset="0mm,0mm,0mm,0mm">
              <w:txbxContent>
                <w:p w14:paraId="4667266D">
                  <w:pPr>
                    <w:snapToGrid w:val="0"/>
                    <w:spacing w:line="566" w:lineRule="atLeast"/>
                    <w:ind w:left="310" w:hanging="310" w:hangingChars="100"/>
                    <w:rPr>
                      <w:rFonts w:hint="default"/>
                      <w:lang w:val="en-US" w:eastAsia="zh-CN"/>
                    </w:rPr>
                  </w:pPr>
                  <w:r>
                    <w:rPr>
                      <w:rFonts w:hint="eastAsia" w:ascii="黑体" w:eastAsia="黑体" w:cs="黑体"/>
                      <w:sz w:val="31"/>
                      <w:u w:val="none"/>
                      <w:lang w:bidi="ar"/>
                    </w:rPr>
                    <w:t>SDDR-20</w:t>
                  </w:r>
                  <w:r>
                    <w:rPr>
                      <w:rFonts w:hint="eastAsia" w:ascii="黑体" w:eastAsia="黑体" w:cs="黑体"/>
                      <w:sz w:val="31"/>
                      <w:u w:val="none"/>
                      <w:lang w:val="en-US" w:eastAsia="zh-CN" w:bidi="ar"/>
                    </w:rPr>
                    <w:t>25</w:t>
                  </w:r>
                  <w:r>
                    <w:rPr>
                      <w:rFonts w:hint="eastAsia" w:ascii="黑体" w:eastAsia="黑体" w:cs="黑体"/>
                      <w:sz w:val="31"/>
                      <w:u w:val="none"/>
                      <w:lang w:bidi="ar"/>
                    </w:rPr>
                    <w:t>-</w:t>
                  </w:r>
                  <w:r>
                    <w:rPr>
                      <w:rFonts w:hint="eastAsia" w:ascii="黑体" w:eastAsia="黑体" w:cs="黑体"/>
                      <w:sz w:val="31"/>
                      <w:u w:val="none"/>
                      <w:lang w:val="en-US" w:eastAsia="zh-CN" w:bidi="ar"/>
                    </w:rPr>
                    <w:t>01001</w:t>
                  </w:r>
                </w:p>
              </w:txbxContent>
            </v:textbox>
          </v:shape>
        </w:pict>
      </w:r>
    </w:p>
    <w:p w14:paraId="4191410E">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cs="仿宋_GB2312"/>
          <w:color w:val="000000"/>
        </w:rPr>
      </w:pPr>
    </w:p>
    <w:p w14:paraId="5DCE339C">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cs="仿宋_GB2312"/>
          <w:color w:val="000000"/>
        </w:rPr>
      </w:pPr>
    </w:p>
    <w:p w14:paraId="0C836854">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cs="仿宋_GB2312"/>
          <w:color w:val="000000"/>
        </w:rPr>
      </w:pPr>
    </w:p>
    <w:p w14:paraId="375BA639">
      <w:pPr>
        <w:keepNext w:val="0"/>
        <w:keepLines w:val="0"/>
        <w:pageBreakBefore w:val="0"/>
        <w:widowControl w:val="0"/>
        <w:kinsoku/>
        <w:wordWrap/>
        <w:overflowPunct/>
        <w:topLinePunct w:val="0"/>
        <w:autoSpaceDE/>
        <w:autoSpaceDN/>
        <w:bidi w:val="0"/>
        <w:adjustRightInd/>
        <w:snapToGrid w:val="0"/>
        <w:spacing w:line="566" w:lineRule="atLeast"/>
        <w:ind w:firstLine="0" w:firstLineChars="0"/>
        <w:jc w:val="center"/>
        <w:textAlignment w:val="auto"/>
        <w:rPr>
          <w:rFonts w:hint="eastAsia" w:ascii="仿宋_GB2312" w:eastAsia="仿宋_GB2312" w:cs="仿宋_GB2312"/>
          <w:color w:val="000000"/>
          <w:sz w:val="32"/>
          <w:szCs w:val="32"/>
          <w:u w:val="none"/>
          <w:lang w:bidi="ar"/>
        </w:rPr>
      </w:pPr>
    </w:p>
    <w:p w14:paraId="269AB800">
      <w:pPr>
        <w:keepNext w:val="0"/>
        <w:keepLines w:val="0"/>
        <w:pageBreakBefore w:val="0"/>
        <w:widowControl w:val="0"/>
        <w:kinsoku/>
        <w:wordWrap/>
        <w:overflowPunct/>
        <w:topLinePunct w:val="0"/>
        <w:autoSpaceDE/>
        <w:autoSpaceDN/>
        <w:bidi w:val="0"/>
        <w:adjustRightInd/>
        <w:snapToGrid w:val="0"/>
        <w:spacing w:line="566" w:lineRule="atLeast"/>
        <w:ind w:firstLine="0" w:firstLineChars="0"/>
        <w:jc w:val="center"/>
        <w:textAlignment w:val="auto"/>
        <w:rPr>
          <w:rFonts w:hint="eastAsia" w:ascii="仿宋_GB2312" w:eastAsia="仿宋_GB2312" w:cs="仿宋_GB2312"/>
          <w:color w:val="000000"/>
          <w:sz w:val="32"/>
          <w:szCs w:val="32"/>
          <w:u w:val="none"/>
        </w:rPr>
      </w:pPr>
      <w:r>
        <w:rPr>
          <w:rFonts w:hint="eastAsia" w:ascii="仿宋_GB2312" w:eastAsia="仿宋_GB2312" w:cs="仿宋_GB2312"/>
          <w:color w:val="000000"/>
          <w:sz w:val="32"/>
          <w:szCs w:val="32"/>
          <w:u w:val="none"/>
          <w:lang w:bidi="ar"/>
        </w:rPr>
        <w:t>邵</w:t>
      </w:r>
      <w:r>
        <w:rPr>
          <w:rFonts w:hint="eastAsia" w:ascii="仿宋_GB2312" w:eastAsia="仿宋_GB2312" w:cs="仿宋_GB2312"/>
          <w:color w:val="000000"/>
          <w:sz w:val="32"/>
          <w:szCs w:val="32"/>
          <w:u w:val="none"/>
          <w:lang w:eastAsia="zh-CN" w:bidi="ar"/>
        </w:rPr>
        <w:t>东</w:t>
      </w:r>
      <w:r>
        <w:rPr>
          <w:rFonts w:hint="eastAsia" w:ascii="仿宋_GB2312" w:eastAsia="仿宋_GB2312" w:cs="仿宋_GB2312"/>
          <w:color w:val="000000"/>
          <w:sz w:val="32"/>
          <w:szCs w:val="32"/>
          <w:u w:val="none"/>
          <w:lang w:bidi="ar"/>
        </w:rPr>
        <w:t>政办发〔20</w:t>
      </w:r>
      <w:r>
        <w:rPr>
          <w:rFonts w:hint="eastAsia" w:ascii="仿宋_GB2312" w:eastAsia="仿宋_GB2312" w:cs="仿宋_GB2312"/>
          <w:color w:val="000000"/>
          <w:sz w:val="32"/>
          <w:szCs w:val="32"/>
          <w:u w:val="none"/>
          <w:lang w:val="en-US" w:eastAsia="zh-CN" w:bidi="ar"/>
        </w:rPr>
        <w:t>25</w:t>
      </w:r>
      <w:r>
        <w:rPr>
          <w:rFonts w:hint="eastAsia" w:ascii="仿宋_GB2312" w:eastAsia="仿宋_GB2312" w:cs="仿宋_GB2312"/>
          <w:color w:val="000000"/>
          <w:sz w:val="32"/>
          <w:szCs w:val="32"/>
          <w:u w:val="none"/>
          <w:lang w:bidi="ar"/>
        </w:rPr>
        <w:t>〕</w:t>
      </w:r>
      <w:r>
        <w:rPr>
          <w:rFonts w:hint="eastAsia" w:ascii="仿宋_GB2312" w:eastAsia="仿宋_GB2312" w:cs="仿宋_GB2312"/>
          <w:color w:val="000000"/>
          <w:sz w:val="32"/>
          <w:szCs w:val="32"/>
          <w:u w:val="none"/>
          <w:lang w:val="en-US" w:eastAsia="zh-CN" w:bidi="ar"/>
        </w:rPr>
        <w:t>1</w:t>
      </w:r>
      <w:r>
        <w:rPr>
          <w:rFonts w:hint="eastAsia" w:ascii="仿宋_GB2312" w:eastAsia="仿宋_GB2312" w:cs="仿宋_GB2312"/>
          <w:color w:val="000000"/>
          <w:sz w:val="32"/>
          <w:szCs w:val="32"/>
          <w:u w:val="none"/>
          <w:lang w:bidi="ar"/>
        </w:rPr>
        <w:t>号</w:t>
      </w:r>
    </w:p>
    <w:p w14:paraId="3BA534A9">
      <w:pPr>
        <w:keepNext w:val="0"/>
        <w:keepLines w:val="0"/>
        <w:pageBreakBefore w:val="0"/>
        <w:widowControl w:val="0"/>
        <w:kinsoku/>
        <w:wordWrap/>
        <w:overflowPunct/>
        <w:topLinePunct w:val="0"/>
        <w:autoSpaceDE/>
        <w:autoSpaceDN/>
        <w:bidi w:val="0"/>
        <w:adjustRightInd/>
        <w:snapToGrid w:val="0"/>
        <w:spacing w:line="900" w:lineRule="exact"/>
        <w:jc w:val="center"/>
        <w:textAlignment w:val="auto"/>
        <w:rPr>
          <w:rFonts w:hint="eastAsia" w:ascii="仿宋_GB2312" w:cs="仿宋_GB2312"/>
          <w:color w:val="000000"/>
          <w:szCs w:val="32"/>
          <w:u w:val="none"/>
        </w:rPr>
      </w:pPr>
      <w:bookmarkStart w:id="1" w:name="_GoBack"/>
      <w:bookmarkEnd w:id="1"/>
    </w:p>
    <w:p w14:paraId="5A31447A">
      <w:pPr>
        <w:keepNext w:val="0"/>
        <w:keepLines w:val="0"/>
        <w:pageBreakBefore w:val="0"/>
        <w:kinsoku/>
        <w:wordWrap/>
        <w:overflowPunct/>
        <w:topLinePunct w:val="0"/>
        <w:autoSpaceDE/>
        <w:autoSpaceDN/>
        <w:bidi w:val="0"/>
        <w:adjustRightInd/>
        <w:snapToGrid/>
        <w:spacing w:line="700" w:lineRule="exact"/>
        <w:ind w:firstLine="0" w:firstLineChars="0"/>
        <w:jc w:val="center"/>
        <w:textAlignment w:val="auto"/>
        <w:outlineLvl w:val="9"/>
        <w:rPr>
          <w:rFonts w:hint="eastAsia" w:ascii="方正小标宋简体" w:hAnsi="方正小标宋简体" w:eastAsia="方正小标宋简体" w:cs="方正小标宋简体"/>
          <w:color w:val="000000"/>
          <w:w w:val="100"/>
          <w:kern w:val="0"/>
          <w:sz w:val="44"/>
          <w:szCs w:val="44"/>
          <w:u w:val="none"/>
          <w:lang w:eastAsia="zh-CN"/>
        </w:rPr>
      </w:pPr>
      <w:r>
        <w:rPr>
          <w:rFonts w:hint="eastAsia" w:ascii="方正小标宋简体" w:hAnsi="方正大标宋简体" w:eastAsia="方正小标宋简体" w:cs="方正大标宋简体"/>
          <w:color w:val="000000"/>
          <w:w w:val="100"/>
          <w:sz w:val="44"/>
          <w:szCs w:val="44"/>
          <w:u w:val="none"/>
          <w:lang w:bidi="ar"/>
        </w:rPr>
        <w:t>邵东</w:t>
      </w:r>
      <w:r>
        <w:rPr>
          <w:rFonts w:hint="eastAsia" w:ascii="方正小标宋简体" w:hAnsi="方正大标宋简体" w:eastAsia="方正小标宋简体" w:cs="方正大标宋简体"/>
          <w:color w:val="000000"/>
          <w:w w:val="100"/>
          <w:sz w:val="44"/>
          <w:szCs w:val="44"/>
          <w:u w:val="none"/>
          <w:lang w:eastAsia="zh-CN" w:bidi="ar"/>
        </w:rPr>
        <w:t>市</w:t>
      </w:r>
      <w:r>
        <w:rPr>
          <w:rFonts w:hint="eastAsia" w:ascii="方正小标宋简体" w:hAnsi="方正大标宋简体" w:eastAsia="方正小标宋简体" w:cs="方正大标宋简体"/>
          <w:color w:val="000000"/>
          <w:w w:val="100"/>
          <w:sz w:val="44"/>
          <w:szCs w:val="44"/>
          <w:u w:val="none"/>
          <w:lang w:bidi="ar"/>
        </w:rPr>
        <w:t>人民政府办公室</w:t>
      </w:r>
    </w:p>
    <w:p w14:paraId="74585B91">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outlineLvl w:val="9"/>
        <w:rPr>
          <w:rFonts w:hint="eastAsia" w:ascii="方正小标宋简体" w:hAnsi="方正大标宋简体" w:eastAsia="方正小标宋简体" w:cs="方正大标宋简体"/>
          <w:color w:val="000000"/>
          <w:w w:val="100"/>
          <w:sz w:val="44"/>
          <w:szCs w:val="44"/>
          <w:u w:val="none"/>
          <w:lang w:val="en-US" w:eastAsia="zh-CN" w:bidi="ar"/>
        </w:rPr>
      </w:pPr>
      <w:r>
        <w:rPr>
          <w:rFonts w:hint="eastAsia" w:ascii="方正小标宋简体" w:hAnsi="方正大标宋简体" w:eastAsia="方正小标宋简体" w:cs="方正大标宋简体"/>
          <w:color w:val="000000"/>
          <w:w w:val="100"/>
          <w:sz w:val="44"/>
          <w:szCs w:val="44"/>
          <w:u w:val="none"/>
          <w:lang w:val="en-US" w:eastAsia="zh-CN" w:bidi="ar"/>
        </w:rPr>
        <w:t>关于印发《邵东市企业国有资产管理办法》的</w:t>
      </w:r>
    </w:p>
    <w:p w14:paraId="66429F61">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outlineLvl w:val="9"/>
        <w:rPr>
          <w:rFonts w:hint="default" w:ascii="方正小标宋简体" w:hAnsi="方正大标宋简体" w:eastAsia="方正小标宋简体" w:cs="方正大标宋简体"/>
          <w:color w:val="000000"/>
          <w:w w:val="100"/>
          <w:sz w:val="44"/>
          <w:szCs w:val="44"/>
          <w:u w:val="none"/>
          <w:lang w:val="en-US" w:eastAsia="zh-CN" w:bidi="ar"/>
        </w:rPr>
      </w:pPr>
      <w:r>
        <w:rPr>
          <w:rFonts w:hint="eastAsia" w:ascii="方正小标宋简体" w:hAnsi="方正大标宋简体" w:eastAsia="方正小标宋简体" w:cs="方正大标宋简体"/>
          <w:color w:val="000000"/>
          <w:w w:val="100"/>
          <w:sz w:val="44"/>
          <w:szCs w:val="44"/>
          <w:u w:val="none"/>
          <w:lang w:val="en-US" w:eastAsia="zh-CN" w:bidi="ar"/>
        </w:rPr>
        <w:t>通    知</w:t>
      </w:r>
    </w:p>
    <w:p w14:paraId="24542BCB">
      <w:pPr>
        <w:pStyle w:val="19"/>
        <w:keepNext w:val="0"/>
        <w:keepLines w:val="0"/>
        <w:pageBreakBefore w:val="0"/>
        <w:widowControl w:val="0"/>
        <w:kinsoku/>
        <w:wordWrap/>
        <w:overflowPunct/>
        <w:topLinePunct w:val="0"/>
        <w:bidi w:val="0"/>
        <w:snapToGrid/>
        <w:spacing w:line="580" w:lineRule="exact"/>
        <w:ind w:firstLine="643" w:firstLineChars="200"/>
        <w:jc w:val="both"/>
        <w:textAlignment w:val="auto"/>
        <w:rPr>
          <w:rFonts w:hint="eastAsia" w:ascii="仿宋_GB2312" w:hAnsi="仿宋_GB2312" w:eastAsia="仿宋_GB2312" w:cs="仿宋_GB2312"/>
          <w:b/>
          <w:color w:val="000000" w:themeColor="text1"/>
          <w:sz w:val="32"/>
          <w:szCs w:val="32"/>
        </w:rPr>
      </w:pPr>
    </w:p>
    <w:p w14:paraId="60B72D78">
      <w:pPr>
        <w:keepNext w:val="0"/>
        <w:keepLines w:val="0"/>
        <w:pageBreakBefore w:val="0"/>
        <w:widowControl w:val="0"/>
        <w:kinsoku/>
        <w:wordWrap/>
        <w:overflowPunct/>
        <w:topLinePunct w:val="0"/>
        <w:bidi w:val="0"/>
        <w:snapToGrid/>
        <w:spacing w:line="580" w:lineRule="exact"/>
        <w:ind w:left="0" w:leftChars="0" w:firstLine="0" w:firstLineChars="0"/>
        <w:textAlignment w:val="auto"/>
        <w:rPr>
          <w:rFonts w:hint="eastAsia" w:ascii="仿宋_GB2312" w:hAnsi="仿宋_GB2312" w:eastAsia="仿宋_GB2312" w:cs="仿宋_GB2312"/>
          <w:b w:val="0"/>
          <w:bCs/>
          <w:color w:val="000000" w:themeColor="text1"/>
          <w:sz w:val="32"/>
          <w:szCs w:val="32"/>
          <w:lang w:val="en-US" w:eastAsia="zh-CN"/>
        </w:rPr>
      </w:pPr>
      <w:r>
        <w:rPr>
          <w:rFonts w:hint="eastAsia" w:ascii="仿宋_GB2312" w:hAnsi="仿宋_GB2312" w:eastAsia="仿宋_GB2312" w:cs="仿宋_GB2312"/>
          <w:b w:val="0"/>
          <w:bCs/>
          <w:color w:val="000000" w:themeColor="text1"/>
          <w:sz w:val="32"/>
          <w:szCs w:val="32"/>
          <w:lang w:val="en-US" w:eastAsia="zh-CN"/>
        </w:rPr>
        <w:t>各乡镇人民政府、街道办事处、皇帝岭林场，邵东市直各机关及湖南省、邵阳市驻邵东市各单位：</w:t>
      </w:r>
    </w:p>
    <w:p w14:paraId="0987968D">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b w:val="0"/>
          <w:bCs/>
          <w:color w:val="000000" w:themeColor="text1"/>
          <w:sz w:val="32"/>
          <w:szCs w:val="32"/>
          <w:lang w:val="en-US" w:eastAsia="zh-CN"/>
        </w:rPr>
      </w:pPr>
      <w:r>
        <w:rPr>
          <w:rFonts w:hint="eastAsia" w:ascii="仿宋_GB2312" w:hAnsi="仿宋_GB2312" w:eastAsia="仿宋_GB2312" w:cs="仿宋_GB2312"/>
          <w:b w:val="0"/>
          <w:bCs/>
          <w:color w:val="000000" w:themeColor="text1"/>
          <w:sz w:val="32"/>
          <w:szCs w:val="32"/>
          <w:lang w:val="en-US" w:eastAsia="zh-CN"/>
        </w:rPr>
        <w:t xml:space="preserve">《邵东市企业国有资产管理办法》已经市人民政府2024年第18次常务会议通过，现印发给你们，请认真抓好贯彻落实。  </w:t>
      </w:r>
    </w:p>
    <w:p w14:paraId="425EEF2A">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b w:val="0"/>
          <w:bCs/>
          <w:color w:val="000000" w:themeColor="text1"/>
          <w:sz w:val="32"/>
          <w:szCs w:val="32"/>
          <w:lang w:val="en-US" w:eastAsia="zh-CN"/>
        </w:rPr>
      </w:pPr>
    </w:p>
    <w:p w14:paraId="6A627DD2">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b w:val="0"/>
          <w:bCs/>
          <w:color w:val="000000" w:themeColor="text1"/>
          <w:sz w:val="32"/>
          <w:szCs w:val="32"/>
          <w:lang w:val="en-US" w:eastAsia="zh-CN"/>
        </w:rPr>
      </w:pPr>
    </w:p>
    <w:p w14:paraId="699ABFE4">
      <w:pPr>
        <w:keepNext w:val="0"/>
        <w:keepLines w:val="0"/>
        <w:pageBreakBefore w:val="0"/>
        <w:widowControl w:val="0"/>
        <w:kinsoku/>
        <w:wordWrap w:val="0"/>
        <w:overflowPunct/>
        <w:topLinePunct w:val="0"/>
        <w:bidi w:val="0"/>
        <w:snapToGrid/>
        <w:spacing w:line="580" w:lineRule="exact"/>
        <w:ind w:firstLine="640" w:firstLineChars="200"/>
        <w:jc w:val="right"/>
        <w:textAlignment w:val="auto"/>
        <w:rPr>
          <w:rFonts w:hint="default" w:ascii="仿宋_GB2312" w:hAnsi="仿宋_GB2312" w:eastAsia="仿宋_GB2312" w:cs="仿宋_GB2312"/>
          <w:b w:val="0"/>
          <w:bCs/>
          <w:color w:val="000000" w:themeColor="text1"/>
          <w:sz w:val="32"/>
          <w:szCs w:val="32"/>
          <w:lang w:val="en-US" w:eastAsia="zh-CN"/>
        </w:rPr>
      </w:pPr>
      <w:r>
        <w:rPr>
          <w:rFonts w:hint="eastAsia" w:ascii="仿宋_GB2312" w:hAnsi="仿宋_GB2312" w:eastAsia="仿宋_GB2312" w:cs="仿宋_GB2312"/>
          <w:b w:val="0"/>
          <w:bCs/>
          <w:color w:val="000000" w:themeColor="text1"/>
          <w:sz w:val="32"/>
          <w:szCs w:val="32"/>
          <w:lang w:val="en-US" w:eastAsia="zh-CN"/>
        </w:rPr>
        <w:t xml:space="preserve">                        邵东市人民政府办公室    </w:t>
      </w:r>
    </w:p>
    <w:p w14:paraId="55F39C5C">
      <w:pPr>
        <w:keepNext w:val="0"/>
        <w:keepLines w:val="0"/>
        <w:pageBreakBefore w:val="0"/>
        <w:widowControl w:val="0"/>
        <w:kinsoku/>
        <w:wordWrap w:val="0"/>
        <w:overflowPunct/>
        <w:topLinePunct w:val="0"/>
        <w:bidi w:val="0"/>
        <w:snapToGrid/>
        <w:spacing w:line="580" w:lineRule="exact"/>
        <w:ind w:firstLine="640" w:firstLineChars="200"/>
        <w:jc w:val="right"/>
        <w:textAlignment w:val="auto"/>
        <w:rPr>
          <w:rFonts w:hint="default" w:ascii="仿宋_GB2312" w:hAnsi="仿宋_GB2312" w:eastAsia="仿宋_GB2312" w:cs="仿宋_GB2312"/>
          <w:b w:val="0"/>
          <w:bCs/>
          <w:color w:val="000000" w:themeColor="text1"/>
          <w:sz w:val="32"/>
          <w:szCs w:val="32"/>
          <w:lang w:val="en-US" w:eastAsia="zh-CN"/>
        </w:rPr>
      </w:pPr>
      <w:r>
        <w:rPr>
          <w:rFonts w:hint="eastAsia" w:ascii="仿宋_GB2312" w:hAnsi="仿宋_GB2312" w:eastAsia="仿宋_GB2312" w:cs="仿宋_GB2312"/>
          <w:b w:val="0"/>
          <w:bCs/>
          <w:color w:val="000000" w:themeColor="text1"/>
          <w:sz w:val="32"/>
          <w:szCs w:val="32"/>
          <w:lang w:val="en-US" w:eastAsia="zh-CN"/>
        </w:rPr>
        <w:t xml:space="preserve">2025年1月25日      </w:t>
      </w:r>
    </w:p>
    <w:p w14:paraId="7A5EE9CB">
      <w:pPr>
        <w:rPr>
          <w:rFonts w:hint="eastAsia" w:ascii="仿宋_GB2312" w:eastAsia="仿宋_GB2312"/>
          <w:sz w:val="32"/>
          <w:szCs w:val="32"/>
          <w:lang w:eastAsia="zh-CN"/>
        </w:rPr>
      </w:pPr>
      <w:r>
        <w:rPr>
          <w:rFonts w:hint="eastAsia" w:ascii="仿宋_GB2312" w:eastAsia="仿宋_GB2312"/>
          <w:sz w:val="32"/>
          <w:szCs w:val="32"/>
          <w:lang w:eastAsia="zh-CN"/>
        </w:rPr>
        <w:br w:type="page"/>
      </w:r>
    </w:p>
    <w:p w14:paraId="6837DD2E">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邵东市企业国有资产管理办法</w:t>
      </w:r>
    </w:p>
    <w:p w14:paraId="747E2F4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eastAsia="黑体"/>
          <w:sz w:val="32"/>
          <w:szCs w:val="32"/>
        </w:rPr>
      </w:pPr>
    </w:p>
    <w:p w14:paraId="2ADFCBD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eastAsia="黑体"/>
          <w:sz w:val="32"/>
          <w:szCs w:val="32"/>
        </w:rPr>
      </w:pPr>
      <w:r>
        <w:rPr>
          <w:rFonts w:hint="eastAsia" w:ascii="黑体" w:eastAsia="黑体"/>
          <w:sz w:val="32"/>
          <w:szCs w:val="32"/>
        </w:rPr>
        <w:t>第一章  总</w:t>
      </w:r>
      <w:r>
        <w:rPr>
          <w:rFonts w:hint="eastAsia" w:ascii="黑体" w:eastAsia="黑体"/>
          <w:sz w:val="32"/>
          <w:szCs w:val="32"/>
          <w:lang w:val="en-US" w:eastAsia="zh-CN"/>
        </w:rPr>
        <w:t xml:space="preserve">  </w:t>
      </w:r>
      <w:r>
        <w:rPr>
          <w:rFonts w:hint="eastAsia" w:ascii="黑体" w:eastAsia="黑体"/>
          <w:sz w:val="32"/>
          <w:szCs w:val="32"/>
        </w:rPr>
        <w:t>则</w:t>
      </w:r>
    </w:p>
    <w:p w14:paraId="35C1334F">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第一条</w:t>
      </w:r>
      <w:r>
        <w:rPr>
          <w:rFonts w:hint="eastAsia" w:ascii="仿宋_GB2312" w:eastAsia="仿宋_GB2312"/>
          <w:sz w:val="32"/>
          <w:szCs w:val="32"/>
        </w:rPr>
        <w:t xml:space="preserve">  为加强</w:t>
      </w:r>
      <w:r>
        <w:rPr>
          <w:rFonts w:hint="eastAsia" w:ascii="仿宋_GB2312" w:eastAsia="仿宋_GB2312"/>
          <w:sz w:val="32"/>
          <w:szCs w:val="32"/>
          <w:lang w:eastAsia="zh-CN"/>
        </w:rPr>
        <w:t>全市</w:t>
      </w:r>
      <w:r>
        <w:rPr>
          <w:rFonts w:hint="eastAsia" w:ascii="仿宋_GB2312" w:eastAsia="仿宋_GB2312"/>
          <w:sz w:val="32"/>
          <w:szCs w:val="32"/>
        </w:rPr>
        <w:t>企业国有资产管理，健全企业国有资产管理体制和运营机制，防止国有资产流失，确保国有资产保值增值，根据《中华人民共和国企业国有资产法》《企业国有资产监督管理暂行条例》等国家法律法规，结合我市实际，制定本办法。</w:t>
      </w:r>
    </w:p>
    <w:p w14:paraId="5C749C2E">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第二条</w:t>
      </w:r>
      <w:r>
        <w:rPr>
          <w:rFonts w:hint="eastAsia" w:ascii="仿宋_GB2312" w:eastAsia="仿宋_GB2312"/>
          <w:sz w:val="32"/>
          <w:szCs w:val="32"/>
        </w:rPr>
        <w:t xml:space="preserve">  本办法所称企业国有资产，是指国家对企业各种形式的投资和投资所形成的权益。其表现形式为流动资产（含货币资金和债权等）</w:t>
      </w:r>
      <w:r>
        <w:rPr>
          <w:rFonts w:hint="eastAsia" w:ascii="仿宋_GB2312" w:eastAsia="仿宋_GB2312"/>
          <w:sz w:val="32"/>
          <w:szCs w:val="32"/>
          <w:lang w:eastAsia="zh-CN"/>
        </w:rPr>
        <w:t>、</w:t>
      </w:r>
      <w:r>
        <w:rPr>
          <w:rFonts w:hint="eastAsia" w:ascii="仿宋_GB2312" w:eastAsia="仿宋_GB2312"/>
          <w:sz w:val="32"/>
          <w:szCs w:val="32"/>
        </w:rPr>
        <w:t>固定资产、无形资产以及对外投资等。</w:t>
      </w:r>
    </w:p>
    <w:p w14:paraId="12A4D1A4">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第三条</w:t>
      </w:r>
      <w:r>
        <w:rPr>
          <w:rFonts w:hint="eastAsia" w:ascii="仿宋_GB2312" w:eastAsia="仿宋_GB2312"/>
          <w:sz w:val="32"/>
          <w:szCs w:val="32"/>
        </w:rPr>
        <w:t xml:space="preserve">  本办法适用于市属国有企业、国有独资公司、国有资本控股公司</w:t>
      </w:r>
      <w:r>
        <w:rPr>
          <w:rFonts w:hint="eastAsia" w:ascii="仿宋_GB2312" w:eastAsia="仿宋_GB2312"/>
          <w:sz w:val="32"/>
          <w:szCs w:val="32"/>
          <w:lang w:eastAsia="zh-CN"/>
        </w:rPr>
        <w:t>和</w:t>
      </w:r>
      <w:r>
        <w:rPr>
          <w:rFonts w:hint="eastAsia" w:ascii="仿宋_GB2312" w:eastAsia="仿宋_GB2312"/>
          <w:sz w:val="32"/>
          <w:szCs w:val="32"/>
        </w:rPr>
        <w:t>国有资本参股公司等。</w:t>
      </w:r>
    </w:p>
    <w:p w14:paraId="320EA57A">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第四条</w:t>
      </w:r>
      <w:r>
        <w:rPr>
          <w:rFonts w:hint="eastAsia" w:ascii="仿宋_GB2312" w:eastAsia="仿宋_GB2312"/>
          <w:sz w:val="32"/>
          <w:szCs w:val="32"/>
        </w:rPr>
        <w:t xml:space="preserve">  企业国有资产属于国家所有，受法律保护，任何单位和个人不得侵害。</w:t>
      </w:r>
    </w:p>
    <w:p w14:paraId="24ADFA6C">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 xml:space="preserve">第五条 </w:t>
      </w:r>
      <w:r>
        <w:rPr>
          <w:rFonts w:hint="eastAsia" w:ascii="仿宋_GB2312" w:eastAsia="仿宋_GB2312"/>
          <w:sz w:val="32"/>
          <w:szCs w:val="32"/>
        </w:rPr>
        <w:t xml:space="preserve"> 企业国有资产管理实行管资产和管人、管事相结合，</w:t>
      </w:r>
      <w:r>
        <w:rPr>
          <w:rFonts w:hint="eastAsia" w:ascii="仿宋_GB2312" w:eastAsia="仿宋_GB2312"/>
          <w:sz w:val="32"/>
          <w:szCs w:val="32"/>
          <w:lang w:eastAsia="zh-CN"/>
        </w:rPr>
        <w:t>出资人</w:t>
      </w:r>
      <w:r>
        <w:rPr>
          <w:rFonts w:hint="eastAsia" w:ascii="仿宋_GB2312" w:eastAsia="仿宋_GB2312"/>
          <w:sz w:val="32"/>
          <w:szCs w:val="32"/>
        </w:rPr>
        <w:t>对出资企业依法享有资产收益</w:t>
      </w:r>
      <w:r>
        <w:rPr>
          <w:rFonts w:hint="eastAsia" w:ascii="仿宋_GB2312" w:eastAsia="仿宋_GB2312"/>
          <w:sz w:val="32"/>
          <w:szCs w:val="32"/>
          <w:lang w:eastAsia="zh-CN"/>
        </w:rPr>
        <w:t>、</w:t>
      </w:r>
      <w:r>
        <w:rPr>
          <w:rFonts w:hint="eastAsia" w:ascii="仿宋_GB2312" w:eastAsia="仿宋_GB2312"/>
          <w:sz w:val="32"/>
          <w:szCs w:val="32"/>
        </w:rPr>
        <w:t>参与重大事项决策等出资人权利。</w:t>
      </w:r>
    </w:p>
    <w:p w14:paraId="54F32396">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第六条</w:t>
      </w:r>
      <w:r>
        <w:rPr>
          <w:rFonts w:hint="eastAsia" w:ascii="仿宋_GB2312" w:eastAsia="仿宋_GB2312"/>
          <w:sz w:val="32"/>
          <w:szCs w:val="32"/>
        </w:rPr>
        <w:t xml:space="preserve">  企业国有资产管理实行内部监督与外部监督相结合。通过内部审计</w:t>
      </w:r>
      <w:r>
        <w:rPr>
          <w:rFonts w:hint="eastAsia" w:ascii="仿宋_GB2312" w:eastAsia="仿宋_GB2312"/>
          <w:sz w:val="32"/>
          <w:szCs w:val="32"/>
          <w:lang w:eastAsia="zh-CN"/>
        </w:rPr>
        <w:t>、</w:t>
      </w:r>
      <w:r>
        <w:rPr>
          <w:rFonts w:hint="eastAsia" w:ascii="仿宋_GB2312" w:eastAsia="仿宋_GB2312"/>
          <w:sz w:val="32"/>
          <w:szCs w:val="32"/>
        </w:rPr>
        <w:t>职工代表大会民主监督等企业内部监督和出资人委派监事、财务检查、审计、监察等外部监督相结合的方式开展监督。</w:t>
      </w:r>
    </w:p>
    <w:p w14:paraId="2EC4673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eastAsia="黑体"/>
          <w:sz w:val="32"/>
          <w:szCs w:val="32"/>
        </w:rPr>
      </w:pPr>
      <w:r>
        <w:rPr>
          <w:rFonts w:hint="eastAsia" w:ascii="黑体" w:eastAsia="黑体"/>
          <w:sz w:val="32"/>
          <w:szCs w:val="32"/>
        </w:rPr>
        <w:t>第二章  管理体制</w:t>
      </w:r>
    </w:p>
    <w:p w14:paraId="4C558749">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第七条</w:t>
      </w:r>
      <w:r>
        <w:rPr>
          <w:rFonts w:hint="eastAsia" w:ascii="仿宋_GB2312" w:eastAsia="仿宋_GB2312"/>
          <w:sz w:val="32"/>
          <w:szCs w:val="32"/>
        </w:rPr>
        <w:t xml:space="preserve">  市财政局根据市人民政府授权，代表市人民政府依法履行出资人职责，负责全市国有企业、国有资本参股公司等国有资产的监督管理，保障出资人权益，防止国有资产损失。</w:t>
      </w:r>
    </w:p>
    <w:p w14:paraId="4BB0715E">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 xml:space="preserve">第八条  </w:t>
      </w:r>
      <w:r>
        <w:rPr>
          <w:rFonts w:hint="eastAsia" w:ascii="仿宋_GB2312" w:eastAsia="仿宋_GB2312"/>
          <w:sz w:val="32"/>
          <w:szCs w:val="32"/>
        </w:rPr>
        <w:t>各企业单位是国有资产管理的责任主体，依照《中华人民共和国企业国有资产法》和</w:t>
      </w:r>
      <w:r>
        <w:rPr>
          <w:rFonts w:hint="eastAsia" w:ascii="仿宋_GB2312" w:eastAsia="仿宋_GB2312"/>
          <w:sz w:val="32"/>
          <w:szCs w:val="32"/>
          <w:lang w:eastAsia="zh-CN"/>
        </w:rPr>
        <w:t>企业</w:t>
      </w:r>
      <w:r>
        <w:rPr>
          <w:rFonts w:hint="eastAsia" w:ascii="仿宋_GB2312" w:eastAsia="仿宋_GB2312"/>
          <w:sz w:val="32"/>
          <w:szCs w:val="32"/>
        </w:rPr>
        <w:t>章程的规定，对本企业的国有资产进行全面管理</w:t>
      </w:r>
      <w:r>
        <w:rPr>
          <w:rFonts w:hint="eastAsia" w:ascii="仿宋_GB2312" w:eastAsia="仿宋_GB2312"/>
          <w:sz w:val="32"/>
          <w:szCs w:val="32"/>
          <w:lang w:eastAsia="zh-CN"/>
        </w:rPr>
        <w:t>，</w:t>
      </w:r>
      <w:r>
        <w:rPr>
          <w:rFonts w:hint="eastAsia" w:ascii="仿宋_GB2312" w:eastAsia="仿宋_GB2312"/>
          <w:sz w:val="32"/>
          <w:szCs w:val="32"/>
        </w:rPr>
        <w:t>承担企业国有资产的保值增值责任。</w:t>
      </w:r>
    </w:p>
    <w:p w14:paraId="0D5456D6">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第九条</w:t>
      </w:r>
      <w:r>
        <w:rPr>
          <w:rFonts w:hint="eastAsia" w:ascii="仿宋_GB2312" w:eastAsia="仿宋_GB2312"/>
          <w:sz w:val="32"/>
          <w:szCs w:val="32"/>
        </w:rPr>
        <w:t xml:space="preserve">  企业应当依照法律、行政法规和各级财政部门的规定，建立健全财务会计制度，设置会计账簿，进行会计核算，依照法律、行政法规以及企业章程的规定按季向出资人提供真实、准确、完整的财务、会计信息。</w:t>
      </w:r>
    </w:p>
    <w:p w14:paraId="1F141AED">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第十条</w:t>
      </w:r>
      <w:r>
        <w:rPr>
          <w:rFonts w:hint="eastAsia" w:ascii="仿宋_GB2312" w:eastAsia="仿宋_GB2312"/>
          <w:sz w:val="32"/>
          <w:szCs w:val="32"/>
        </w:rPr>
        <w:t xml:space="preserve">  企业从事经营活动应当遵守法律、行政法规，加强经营管理，提高经营效益，接受市人民政府及其有关部门机构依法实施的管理和监督，接受社会公众的监督，承担社会责任，建立和完善法人治理机构，对出资人负责。</w:t>
      </w:r>
    </w:p>
    <w:p w14:paraId="5DAC8C80">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第十一条</w:t>
      </w:r>
      <w:r>
        <w:rPr>
          <w:rFonts w:hint="eastAsia" w:ascii="仿宋_GB2312" w:eastAsia="仿宋_GB2312"/>
          <w:sz w:val="32"/>
          <w:szCs w:val="32"/>
        </w:rPr>
        <w:t xml:space="preserve">  企业应按季向出资人报送《资产负债表》《利润表》等经营状况类报表，年终应对本企业所管理的全部资产进行清查、盘点，切实摸清企业资产状况，做到账实、账卡、账表相符。</w:t>
      </w:r>
    </w:p>
    <w:p w14:paraId="0848CAD4">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第十二条</w:t>
      </w:r>
      <w:r>
        <w:rPr>
          <w:rFonts w:hint="eastAsia" w:ascii="仿宋_GB2312" w:eastAsia="仿宋_GB2312"/>
          <w:sz w:val="32"/>
          <w:szCs w:val="32"/>
        </w:rPr>
        <w:t xml:space="preserve">  国有资本经营收益预算按年度单独编制，不列赤字预算，同时纳入市级财政预算管理，报市级人民代表大会批准后，应当上交的国有资本经营收益及时、足额解缴市财政。</w:t>
      </w:r>
    </w:p>
    <w:p w14:paraId="0CF418C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eastAsia="黑体"/>
          <w:sz w:val="32"/>
          <w:szCs w:val="32"/>
        </w:rPr>
      </w:pPr>
      <w:r>
        <w:rPr>
          <w:rFonts w:hint="eastAsia" w:ascii="黑体" w:eastAsia="黑体"/>
          <w:sz w:val="32"/>
          <w:szCs w:val="32"/>
        </w:rPr>
        <w:t>第三章  重大事项管理</w:t>
      </w:r>
    </w:p>
    <w:p w14:paraId="5B4DC4BC">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第十三条</w:t>
      </w:r>
      <w:r>
        <w:rPr>
          <w:rFonts w:hint="eastAsia" w:ascii="仿宋_GB2312" w:eastAsia="仿宋_GB2312"/>
          <w:sz w:val="32"/>
          <w:szCs w:val="32"/>
        </w:rPr>
        <w:t xml:space="preserve">  重大事项是指企业的合并、设立、改制、上市、增加或减少注册资本，发行债券，进行融资，单笔50万元（含）以上的投资，为他人提供担保、转让重大财产，单笔5万元（含）以上的捐赠、分配利润、招聘人员以及解散、申请破产等其他影响国有资产权益的事项</w:t>
      </w:r>
      <w:r>
        <w:rPr>
          <w:rFonts w:hint="eastAsia" w:ascii="仿宋_GB2312" w:eastAsia="仿宋_GB2312"/>
          <w:sz w:val="32"/>
          <w:szCs w:val="32"/>
          <w:lang w:eastAsia="zh-CN"/>
        </w:rPr>
        <w:t>及</w:t>
      </w:r>
      <w:r>
        <w:rPr>
          <w:rFonts w:hint="eastAsia" w:ascii="仿宋_GB2312" w:eastAsia="仿宋_GB2312"/>
          <w:sz w:val="32"/>
          <w:szCs w:val="32"/>
        </w:rPr>
        <w:t>依照法律法规</w:t>
      </w:r>
      <w:r>
        <w:rPr>
          <w:rFonts w:hint="eastAsia" w:ascii="仿宋_GB2312" w:eastAsia="仿宋_GB2312"/>
          <w:sz w:val="32"/>
          <w:szCs w:val="32"/>
          <w:lang w:eastAsia="zh-CN"/>
        </w:rPr>
        <w:t>或</w:t>
      </w:r>
      <w:r>
        <w:rPr>
          <w:rFonts w:hint="eastAsia" w:ascii="仿宋_GB2312" w:eastAsia="仿宋_GB2312"/>
          <w:sz w:val="32"/>
          <w:szCs w:val="32"/>
        </w:rPr>
        <w:t>市人民政府规定应当报请市人民政府批准的其他事项。</w:t>
      </w:r>
    </w:p>
    <w:p w14:paraId="3A2F4505">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第十四条</w:t>
      </w:r>
      <w:r>
        <w:rPr>
          <w:rFonts w:hint="eastAsia" w:ascii="仿宋_GB2312" w:eastAsia="仿宋_GB2312"/>
          <w:sz w:val="32"/>
          <w:szCs w:val="32"/>
        </w:rPr>
        <w:t xml:space="preserve">  重大事项必须报经出资人、市人民政府同意后方可实施，并向市人大</w:t>
      </w:r>
      <w:r>
        <w:rPr>
          <w:rFonts w:hint="eastAsia" w:ascii="仿宋_GB2312" w:eastAsia="仿宋_GB2312"/>
          <w:sz w:val="32"/>
          <w:szCs w:val="32"/>
          <w:lang w:eastAsia="zh-CN"/>
        </w:rPr>
        <w:t>常委会</w:t>
      </w:r>
      <w:r>
        <w:rPr>
          <w:rFonts w:hint="eastAsia" w:ascii="仿宋_GB2312" w:eastAsia="仿宋_GB2312"/>
          <w:sz w:val="32"/>
          <w:szCs w:val="32"/>
        </w:rPr>
        <w:t>报告。报告责任人为董事长、总经理、副董事长、副总经理、董事等，其中董事长、总经理为首席报告责任人。</w:t>
      </w:r>
    </w:p>
    <w:p w14:paraId="3AA32CBE">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第十五条</w:t>
      </w:r>
      <w:r>
        <w:rPr>
          <w:rFonts w:hint="eastAsia" w:ascii="仿宋_GB2312" w:eastAsia="仿宋_GB2312"/>
          <w:sz w:val="32"/>
          <w:szCs w:val="32"/>
        </w:rPr>
        <w:t xml:space="preserve">  重大事项应当以请示件的形式一事一报，并提供首席报告责任人签名及必要的附件材料（集体研究意见、可行性分析、</w:t>
      </w:r>
      <w:r>
        <w:rPr>
          <w:rFonts w:hint="eastAsia" w:ascii="仿宋_GB2312" w:eastAsia="仿宋_GB2312"/>
          <w:sz w:val="32"/>
          <w:szCs w:val="32"/>
          <w:lang w:eastAsia="zh-CN"/>
        </w:rPr>
        <w:t>合法性审查意见、</w:t>
      </w:r>
      <w:r>
        <w:rPr>
          <w:rFonts w:hint="eastAsia" w:ascii="仿宋_GB2312" w:eastAsia="仿宋_GB2312"/>
          <w:sz w:val="32"/>
          <w:szCs w:val="32"/>
        </w:rPr>
        <w:t>论证报告等）。</w:t>
      </w:r>
    </w:p>
    <w:p w14:paraId="38BCC742">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第十六条</w:t>
      </w:r>
      <w:r>
        <w:rPr>
          <w:rFonts w:hint="eastAsia" w:ascii="仿宋_GB2312" w:eastAsia="仿宋_GB2312"/>
          <w:sz w:val="32"/>
          <w:szCs w:val="32"/>
        </w:rPr>
        <w:t xml:space="preserve">  重大事项未经批准，企业一律不得实施。</w:t>
      </w:r>
    </w:p>
    <w:p w14:paraId="11421DC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eastAsia="黑体"/>
          <w:sz w:val="32"/>
          <w:szCs w:val="32"/>
        </w:rPr>
      </w:pPr>
      <w:r>
        <w:rPr>
          <w:rFonts w:hint="eastAsia" w:ascii="黑体" w:eastAsia="黑体"/>
          <w:sz w:val="32"/>
          <w:szCs w:val="32"/>
        </w:rPr>
        <w:t>第四章  投资管理</w:t>
      </w:r>
    </w:p>
    <w:p w14:paraId="5235D641">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第十七条</w:t>
      </w:r>
      <w:r>
        <w:rPr>
          <w:rFonts w:hint="eastAsia" w:ascii="仿宋_GB2312" w:eastAsia="仿宋_GB2312"/>
          <w:sz w:val="32"/>
          <w:szCs w:val="32"/>
        </w:rPr>
        <w:t xml:space="preserve">  企业投资是企业使用自身筹措资金的行为，以及使用自身筹措资金并申请使用政府投资补助或贷款贴息等，主要有：</w:t>
      </w:r>
    </w:p>
    <w:p w14:paraId="7770BA9C">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rPr>
      </w:pPr>
      <w:r>
        <w:rPr>
          <w:rFonts w:hint="eastAsia" w:ascii="仿宋_GB2312" w:eastAsia="仿宋_GB2312"/>
          <w:sz w:val="32"/>
          <w:szCs w:val="32"/>
        </w:rPr>
        <w:t>（一）固定资产投资：包括基本建设、技术改造、重大技术开发投入等；</w:t>
      </w:r>
    </w:p>
    <w:p w14:paraId="300FF37B">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rPr>
      </w:pPr>
      <w:r>
        <w:rPr>
          <w:rFonts w:hint="eastAsia" w:ascii="仿宋_GB2312" w:eastAsia="仿宋_GB2312"/>
          <w:sz w:val="32"/>
          <w:szCs w:val="32"/>
        </w:rPr>
        <w:t>（二）股权投资：包括设立全资或合资企业、控股或参股企业，对出资企业增资、并购、股权置换及其权益类投资；</w:t>
      </w:r>
    </w:p>
    <w:p w14:paraId="58B132B3">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rPr>
      </w:pPr>
      <w:r>
        <w:rPr>
          <w:rFonts w:hint="eastAsia" w:ascii="仿宋_GB2312" w:eastAsia="仿宋_GB2312"/>
          <w:sz w:val="32"/>
          <w:szCs w:val="32"/>
        </w:rPr>
        <w:t>（三）金融投资：包括银行、证券（股票、债券等）；</w:t>
      </w:r>
    </w:p>
    <w:p w14:paraId="7B3EB4F4">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rPr>
      </w:pPr>
      <w:r>
        <w:rPr>
          <w:rFonts w:hint="eastAsia" w:ascii="仿宋_GB2312" w:eastAsia="仿宋_GB2312"/>
          <w:sz w:val="32"/>
          <w:szCs w:val="32"/>
        </w:rPr>
        <w:t>（四）其他投资：包括经营性资产购置、经营性土地使用权取得。</w:t>
      </w:r>
    </w:p>
    <w:p w14:paraId="6CE578CE">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第十八条</w:t>
      </w:r>
      <w:r>
        <w:rPr>
          <w:rFonts w:hint="eastAsia" w:ascii="仿宋_GB2312" w:eastAsia="仿宋_GB2312"/>
          <w:sz w:val="32"/>
          <w:szCs w:val="32"/>
        </w:rPr>
        <w:t xml:space="preserve">  企业投资应当遵循以下原则：</w:t>
      </w:r>
    </w:p>
    <w:p w14:paraId="17A7694C">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rPr>
      </w:pPr>
      <w:r>
        <w:rPr>
          <w:rFonts w:hint="eastAsia" w:ascii="仿宋_GB2312" w:eastAsia="仿宋_GB2312"/>
          <w:sz w:val="32"/>
          <w:szCs w:val="32"/>
        </w:rPr>
        <w:t>（一）依法依规。符合国家法律法规和方针政策，符合出资人有关投资管理规定，符合企业章程和内部投资管理制度</w:t>
      </w:r>
      <w:r>
        <w:rPr>
          <w:rFonts w:hint="eastAsia" w:ascii="仿宋_GB2312" w:eastAsia="仿宋_GB2312"/>
          <w:sz w:val="32"/>
          <w:szCs w:val="32"/>
          <w:lang w:eastAsia="zh-CN"/>
        </w:rPr>
        <w:t>。</w:t>
      </w:r>
    </w:p>
    <w:p w14:paraId="3E7D1F3E">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rPr>
      </w:pPr>
      <w:r>
        <w:rPr>
          <w:rFonts w:hint="eastAsia" w:ascii="仿宋_GB2312" w:eastAsia="仿宋_GB2312"/>
          <w:sz w:val="32"/>
          <w:szCs w:val="32"/>
        </w:rPr>
        <w:t>（二）战略引领。符合</w:t>
      </w:r>
      <w:r>
        <w:rPr>
          <w:rFonts w:hint="eastAsia" w:ascii="仿宋_GB2312" w:eastAsia="仿宋_GB2312"/>
          <w:sz w:val="32"/>
          <w:szCs w:val="32"/>
          <w:lang w:eastAsia="zh-CN"/>
        </w:rPr>
        <w:t>全</w:t>
      </w:r>
      <w:r>
        <w:rPr>
          <w:rFonts w:hint="eastAsia" w:ascii="仿宋_GB2312" w:eastAsia="仿宋_GB2312"/>
          <w:sz w:val="32"/>
          <w:szCs w:val="32"/>
        </w:rPr>
        <w:t>市总体发展战略、区域规划、产业规划以及企业自身发展的战略与规划。</w:t>
      </w:r>
    </w:p>
    <w:p w14:paraId="5B24102E">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rPr>
      </w:pPr>
      <w:r>
        <w:rPr>
          <w:rFonts w:hint="eastAsia" w:ascii="仿宋_GB2312" w:eastAsia="仿宋_GB2312"/>
          <w:sz w:val="32"/>
          <w:szCs w:val="32"/>
        </w:rPr>
        <w:t>（三）聚焦主业。符合企业功能定位，有利于培育和发展壮大企业主业，有利于产业结构调整，有利于增强竞争力</w:t>
      </w:r>
      <w:r>
        <w:rPr>
          <w:rFonts w:hint="eastAsia" w:ascii="仿宋_GB2312" w:eastAsia="仿宋_GB2312"/>
          <w:sz w:val="32"/>
          <w:szCs w:val="32"/>
          <w:lang w:eastAsia="zh-CN"/>
        </w:rPr>
        <w:t>。</w:t>
      </w:r>
    </w:p>
    <w:p w14:paraId="7808DE48">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rPr>
      </w:pPr>
      <w:r>
        <w:rPr>
          <w:rFonts w:hint="eastAsia" w:ascii="仿宋_GB2312" w:eastAsia="仿宋_GB2312"/>
          <w:sz w:val="32"/>
          <w:szCs w:val="32"/>
        </w:rPr>
        <w:t>（四）量力而行</w:t>
      </w:r>
      <w:r>
        <w:rPr>
          <w:rFonts w:hint="eastAsia" w:ascii="仿宋_GB2312" w:eastAsia="仿宋_GB2312"/>
          <w:sz w:val="32"/>
          <w:szCs w:val="32"/>
          <w:lang w:eastAsia="zh-CN"/>
        </w:rPr>
        <w:t>。</w:t>
      </w:r>
      <w:r>
        <w:rPr>
          <w:rFonts w:hint="eastAsia" w:ascii="仿宋_GB2312" w:eastAsia="仿宋_GB2312"/>
          <w:sz w:val="32"/>
          <w:szCs w:val="32"/>
        </w:rPr>
        <w:t>投资项目的确定应与企业资产经营规模</w:t>
      </w:r>
      <w:r>
        <w:rPr>
          <w:rFonts w:hint="eastAsia" w:ascii="仿宋_GB2312" w:eastAsia="仿宋_GB2312"/>
          <w:sz w:val="32"/>
          <w:szCs w:val="32"/>
          <w:lang w:eastAsia="zh-CN"/>
        </w:rPr>
        <w:t>、</w:t>
      </w:r>
      <w:r>
        <w:rPr>
          <w:rFonts w:hint="eastAsia" w:ascii="仿宋_GB2312" w:eastAsia="仿宋_GB2312"/>
          <w:sz w:val="32"/>
          <w:szCs w:val="32"/>
        </w:rPr>
        <w:t>资产负债水平以及实际融资能力、管控能力、抗风险能力和自身支持能力相适应</w:t>
      </w:r>
      <w:r>
        <w:rPr>
          <w:rFonts w:hint="eastAsia" w:ascii="仿宋_GB2312" w:eastAsia="仿宋_GB2312"/>
          <w:sz w:val="32"/>
          <w:szCs w:val="32"/>
          <w:lang w:eastAsia="zh-CN"/>
        </w:rPr>
        <w:t>。</w:t>
      </w:r>
    </w:p>
    <w:p w14:paraId="409C376D">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rPr>
      </w:pPr>
      <w:r>
        <w:rPr>
          <w:rFonts w:hint="eastAsia" w:ascii="仿宋_GB2312" w:eastAsia="仿宋_GB2312"/>
          <w:sz w:val="32"/>
          <w:szCs w:val="32"/>
        </w:rPr>
        <w:t>（五）效益优先。投资项目要具有良好市场前景、显著经济社会效益，原则上不低于行业平均收益率。</w:t>
      </w:r>
    </w:p>
    <w:p w14:paraId="2220A1D2">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第十九条</w:t>
      </w:r>
      <w:r>
        <w:rPr>
          <w:rFonts w:hint="eastAsia" w:ascii="仿宋_GB2312" w:eastAsia="仿宋_GB2312"/>
          <w:sz w:val="32"/>
          <w:szCs w:val="32"/>
        </w:rPr>
        <w:t xml:space="preserve">  投资审批：单笔投资50万元以下的项目企业集体研究同意后，报市财政局备案；单笔投资50万元（含）以上的项目企业集体研究，经市财政局审核后报市人民政府批准。 </w:t>
      </w:r>
    </w:p>
    <w:p w14:paraId="0D8234A2">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第二十条</w:t>
      </w:r>
      <w:r>
        <w:rPr>
          <w:rFonts w:hint="eastAsia" w:ascii="仿宋_GB2312" w:eastAsia="仿宋_GB2312"/>
          <w:sz w:val="32"/>
          <w:szCs w:val="32"/>
        </w:rPr>
        <w:t xml:space="preserve">  企业投资项目审批须报送以下资料：</w:t>
      </w:r>
    </w:p>
    <w:p w14:paraId="5CA46869">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rPr>
      </w:pPr>
      <w:r>
        <w:rPr>
          <w:rFonts w:hint="eastAsia" w:ascii="仿宋_GB2312" w:eastAsia="仿宋_GB2312"/>
          <w:sz w:val="32"/>
          <w:szCs w:val="32"/>
        </w:rPr>
        <w:t>（一）投资项目请示件；</w:t>
      </w:r>
    </w:p>
    <w:p w14:paraId="2FBF5158">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rPr>
      </w:pPr>
      <w:r>
        <w:rPr>
          <w:rFonts w:hint="eastAsia" w:ascii="仿宋_GB2312" w:eastAsia="仿宋_GB2312"/>
          <w:sz w:val="32"/>
          <w:szCs w:val="32"/>
        </w:rPr>
        <w:t>（二）投资项目报告表；</w:t>
      </w:r>
    </w:p>
    <w:p w14:paraId="1BF21A74">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rPr>
      </w:pPr>
      <w:r>
        <w:rPr>
          <w:rFonts w:hint="eastAsia" w:ascii="仿宋_GB2312" w:eastAsia="仿宋_GB2312"/>
          <w:sz w:val="32"/>
          <w:szCs w:val="32"/>
        </w:rPr>
        <w:t>（三）投资项目建议书或投资可行性研究报告；</w:t>
      </w:r>
    </w:p>
    <w:p w14:paraId="503535D8">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rPr>
      </w:pPr>
      <w:r>
        <w:rPr>
          <w:rFonts w:hint="eastAsia" w:ascii="仿宋_GB2312" w:eastAsia="仿宋_GB2312"/>
          <w:sz w:val="32"/>
          <w:szCs w:val="32"/>
        </w:rPr>
        <w:t>（四）尽职调查报告、评估报告；</w:t>
      </w:r>
    </w:p>
    <w:p w14:paraId="1C274DA1">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rPr>
      </w:pPr>
      <w:r>
        <w:rPr>
          <w:rFonts w:hint="eastAsia" w:ascii="仿宋_GB2312" w:eastAsia="仿宋_GB2312"/>
          <w:sz w:val="32"/>
          <w:szCs w:val="32"/>
        </w:rPr>
        <w:t>（五）涉及股权投资的提供企业法务部门意见书，如以控股为目的，还应提供并购重组方案；</w:t>
      </w:r>
    </w:p>
    <w:p w14:paraId="5FE424DA">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rPr>
      </w:pPr>
      <w:r>
        <w:rPr>
          <w:rFonts w:hint="eastAsia" w:ascii="仿宋_GB2312" w:eastAsia="仿宋_GB2312"/>
          <w:sz w:val="32"/>
          <w:szCs w:val="32"/>
        </w:rPr>
        <w:t>（六）投资资金来源的说明；</w:t>
      </w:r>
    </w:p>
    <w:p w14:paraId="31BBA8DE">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rPr>
      </w:pPr>
      <w:r>
        <w:rPr>
          <w:rFonts w:hint="eastAsia" w:ascii="仿宋_GB2312" w:eastAsia="仿宋_GB2312"/>
          <w:sz w:val="32"/>
          <w:szCs w:val="32"/>
        </w:rPr>
        <w:t>（七）项目责任人；</w:t>
      </w:r>
    </w:p>
    <w:p w14:paraId="215723DB">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rPr>
      </w:pPr>
      <w:r>
        <w:rPr>
          <w:rFonts w:hint="eastAsia" w:ascii="仿宋_GB2312" w:eastAsia="仿宋_GB2312"/>
          <w:sz w:val="32"/>
          <w:szCs w:val="32"/>
        </w:rPr>
        <w:t>（八）企业董事会决议；</w:t>
      </w:r>
    </w:p>
    <w:p w14:paraId="02A67345">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rPr>
      </w:pPr>
      <w:r>
        <w:rPr>
          <w:rFonts w:hint="eastAsia" w:ascii="仿宋_GB2312" w:eastAsia="仿宋_GB2312"/>
          <w:sz w:val="32"/>
          <w:szCs w:val="32"/>
        </w:rPr>
        <w:t>（九）企业监事会意见；</w:t>
      </w:r>
    </w:p>
    <w:p w14:paraId="29D9FD85">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rPr>
      </w:pPr>
      <w:r>
        <w:rPr>
          <w:rFonts w:hint="eastAsia" w:ascii="仿宋_GB2312" w:eastAsia="仿宋_GB2312"/>
          <w:sz w:val="32"/>
          <w:szCs w:val="32"/>
        </w:rPr>
        <w:t>（十）其他相关资料。</w:t>
      </w:r>
    </w:p>
    <w:p w14:paraId="766768B1">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第二十一条</w:t>
      </w:r>
      <w:r>
        <w:rPr>
          <w:rFonts w:hint="eastAsia" w:ascii="仿宋_GB2312" w:eastAsia="仿宋_GB2312"/>
          <w:sz w:val="32"/>
          <w:szCs w:val="32"/>
        </w:rPr>
        <w:t xml:space="preserve">  投资管理职责：</w:t>
      </w:r>
    </w:p>
    <w:p w14:paraId="12618F4A">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rPr>
      </w:pPr>
      <w:r>
        <w:rPr>
          <w:rFonts w:hint="eastAsia" w:ascii="仿宋_GB2312" w:eastAsia="仿宋_GB2312"/>
          <w:sz w:val="32"/>
          <w:szCs w:val="32"/>
        </w:rPr>
        <w:t>（一）企业是投资项目的决策主体、执行主体和责任主体</w:t>
      </w:r>
      <w:r>
        <w:rPr>
          <w:rFonts w:hint="eastAsia" w:ascii="仿宋_GB2312" w:eastAsia="仿宋_GB2312"/>
          <w:sz w:val="32"/>
          <w:szCs w:val="32"/>
          <w:lang w:eastAsia="zh-CN"/>
        </w:rPr>
        <w:t>，</w:t>
      </w:r>
      <w:r>
        <w:rPr>
          <w:rFonts w:hint="eastAsia" w:ascii="仿宋_GB2312" w:eastAsia="仿宋_GB2312"/>
          <w:sz w:val="32"/>
          <w:szCs w:val="32"/>
        </w:rPr>
        <w:t>对实施的投资项目</w:t>
      </w:r>
      <w:r>
        <w:rPr>
          <w:rFonts w:hint="eastAsia" w:ascii="仿宋_GB2312" w:eastAsia="仿宋_GB2312"/>
          <w:sz w:val="32"/>
          <w:szCs w:val="32"/>
          <w:lang w:eastAsia="zh-CN"/>
        </w:rPr>
        <w:t>应</w:t>
      </w:r>
      <w:r>
        <w:rPr>
          <w:rFonts w:hint="eastAsia" w:ascii="仿宋_GB2312" w:eastAsia="仿宋_GB2312"/>
          <w:sz w:val="32"/>
          <w:szCs w:val="32"/>
        </w:rPr>
        <w:t>进行事前、事中、事后全方位管理。</w:t>
      </w:r>
    </w:p>
    <w:p w14:paraId="7E2A9FF7">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事前管理。做好项目的市场调研、尽职调查、可行性分析、成本收益、风险分析、法律审查等工作，编制投资可行性研究报告或投资项目建议书</w:t>
      </w:r>
      <w:r>
        <w:rPr>
          <w:rFonts w:hint="eastAsia" w:ascii="仿宋_GB2312" w:eastAsia="仿宋_GB2312"/>
          <w:sz w:val="32"/>
          <w:szCs w:val="32"/>
          <w:lang w:eastAsia="zh-CN"/>
        </w:rPr>
        <w:t>。</w:t>
      </w:r>
    </w:p>
    <w:p w14:paraId="33B8ED36">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事中管理。依法依规组织实施投资项目，加强日常管理，做好实施过程中的风险监控、预警和处置，发现问题及时纠正，同时企业党委会、董事会、监事会应按照各自职责对投资活动进行全方位管理与监督</w:t>
      </w:r>
      <w:r>
        <w:rPr>
          <w:rFonts w:hint="eastAsia" w:ascii="仿宋_GB2312" w:eastAsia="仿宋_GB2312"/>
          <w:sz w:val="32"/>
          <w:szCs w:val="32"/>
          <w:lang w:eastAsia="zh-CN"/>
        </w:rPr>
        <w:t>。</w:t>
      </w:r>
    </w:p>
    <w:p w14:paraId="73175A4D">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事后管理。开展重大投资项目专项审计工作，对投后管理、投资效益、投资风险进行全面审查，并将审查结果作为企业负责人经营业绩考核、责任追究的重要依据。</w:t>
      </w:r>
    </w:p>
    <w:p w14:paraId="2FCBD669">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rPr>
      </w:pPr>
      <w:r>
        <w:rPr>
          <w:rFonts w:hint="eastAsia" w:ascii="仿宋_GB2312" w:eastAsia="仿宋_GB2312"/>
          <w:sz w:val="32"/>
          <w:szCs w:val="32"/>
        </w:rPr>
        <w:t>（二）市财政局代表市人民政府履行出资人职责，重点对企业投资决策程序和投资效益进行监督管理。</w:t>
      </w:r>
    </w:p>
    <w:p w14:paraId="2893495D">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第二十二条</w:t>
      </w:r>
      <w:r>
        <w:rPr>
          <w:rFonts w:hint="eastAsia" w:ascii="仿宋_GB2312" w:eastAsia="仿宋_GB2312"/>
          <w:sz w:val="32"/>
          <w:szCs w:val="32"/>
        </w:rPr>
        <w:t xml:space="preserve">  企业以货币资金以外的资产对外投资的，由市财政局、企业、被投资方共同委托具有相应资质的评估机构进行资产评估，评估结果作为对外投资的基础定价。</w:t>
      </w:r>
    </w:p>
    <w:p w14:paraId="16A7C041">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第二十三条</w:t>
      </w:r>
      <w:r>
        <w:rPr>
          <w:rFonts w:hint="eastAsia" w:ascii="仿宋_GB2312" w:eastAsia="仿宋_GB2312"/>
          <w:sz w:val="32"/>
          <w:szCs w:val="32"/>
        </w:rPr>
        <w:t xml:space="preserve">  企业有偿获得经营性土地使用权必须通过拍卖、竞价等公开方式进行。</w:t>
      </w:r>
    </w:p>
    <w:p w14:paraId="1720166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eastAsia="黑体"/>
          <w:sz w:val="32"/>
          <w:szCs w:val="32"/>
        </w:rPr>
      </w:pPr>
      <w:r>
        <w:rPr>
          <w:rFonts w:hint="eastAsia" w:ascii="黑体" w:eastAsia="黑体"/>
          <w:sz w:val="32"/>
          <w:szCs w:val="32"/>
        </w:rPr>
        <w:t>第五章  企业参股管理</w:t>
      </w:r>
    </w:p>
    <w:p w14:paraId="03C84065">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第二十四条</w:t>
      </w:r>
      <w:r>
        <w:rPr>
          <w:rFonts w:hint="eastAsia" w:ascii="仿宋_GB2312" w:eastAsia="仿宋_GB2312"/>
          <w:sz w:val="32"/>
          <w:szCs w:val="32"/>
        </w:rPr>
        <w:t xml:space="preserve">  企业参股是指国有企业在所投资企业持股比例不超过50％且不具有实际控制能力的股权投资。</w:t>
      </w:r>
    </w:p>
    <w:p w14:paraId="32E8B095">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第二十五条</w:t>
      </w:r>
      <w:r>
        <w:rPr>
          <w:rFonts w:hint="eastAsia" w:ascii="仿宋_GB2312" w:eastAsia="仿宋_GB2312"/>
          <w:sz w:val="32"/>
          <w:szCs w:val="32"/>
        </w:rPr>
        <w:t xml:space="preserve">  企业参股管理应当遵循以下原则：</w:t>
      </w:r>
    </w:p>
    <w:p w14:paraId="10074222">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rPr>
      </w:pPr>
      <w:r>
        <w:rPr>
          <w:rFonts w:hint="eastAsia" w:ascii="仿宋_GB2312" w:eastAsia="仿宋_GB2312"/>
          <w:sz w:val="32"/>
          <w:szCs w:val="32"/>
        </w:rPr>
        <w:t>（一）依法合规。严格遵守法律法规和国有资产监督管理规定，依法行使股东权利，履行股东义务，维护企业合法权益。</w:t>
      </w:r>
    </w:p>
    <w:p w14:paraId="34520543">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eastAsia="仿宋_GB2312"/>
          <w:sz w:val="32"/>
          <w:szCs w:val="32"/>
        </w:rPr>
      </w:pPr>
      <w:r>
        <w:rPr>
          <w:rFonts w:hint="eastAsia" w:ascii="仿宋_GB2312" w:eastAsia="仿宋_GB2312"/>
          <w:sz w:val="32"/>
          <w:szCs w:val="32"/>
        </w:rPr>
        <w:t xml:space="preserve">    （二）突出主业。根据企业实际，自身产业发展需要，促进国有资本布局优化。</w:t>
      </w:r>
    </w:p>
    <w:p w14:paraId="0166A2AD">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rPr>
      </w:pPr>
      <w:r>
        <w:rPr>
          <w:rFonts w:hint="eastAsia" w:ascii="仿宋_GB2312" w:eastAsia="仿宋_GB2312"/>
          <w:sz w:val="32"/>
          <w:szCs w:val="32"/>
        </w:rPr>
        <w:t>（三）强化管控。严格参股经营投资管理，夯实管理责任，加强风险防范，严防国有资产流失，促进国有资产保值增值。</w:t>
      </w:r>
    </w:p>
    <w:p w14:paraId="7C80129B">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rPr>
      </w:pPr>
      <w:r>
        <w:rPr>
          <w:rFonts w:hint="eastAsia" w:ascii="仿宋_GB2312" w:eastAsia="仿宋_GB2312"/>
          <w:sz w:val="32"/>
          <w:szCs w:val="32"/>
        </w:rPr>
        <w:t>（四）合作共赢。尊重参股企业经营自主权，充分发挥参股企业股东作用，相互促进，共同发展。</w:t>
      </w:r>
    </w:p>
    <w:p w14:paraId="4CF81652">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第二十六条</w:t>
      </w:r>
      <w:r>
        <w:rPr>
          <w:rFonts w:hint="eastAsia" w:ascii="仿宋_GB2312" w:eastAsia="仿宋_GB2312"/>
          <w:sz w:val="32"/>
          <w:szCs w:val="32"/>
        </w:rPr>
        <w:t xml:space="preserve">  国有企业是参股管理责任主体，要结合自身实际制定切实可行的管理制度，按照出资关系和相关规定对参股投资进行有效管控。</w:t>
      </w:r>
    </w:p>
    <w:p w14:paraId="622146C7">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rPr>
      </w:pPr>
      <w:r>
        <w:rPr>
          <w:rFonts w:hint="eastAsia" w:ascii="仿宋_GB2312" w:eastAsia="仿宋_GB2312"/>
          <w:sz w:val="32"/>
          <w:szCs w:val="32"/>
        </w:rPr>
        <w:t>（一）明确具体负责部门、具体责任人对参股股权进行归口管理，建立参股经营投资台帐，加强基础管理，全面准确掌握参股企业基本情况。</w:t>
      </w:r>
    </w:p>
    <w:p w14:paraId="4282BD1B">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rPr>
      </w:pPr>
      <w:r>
        <w:rPr>
          <w:rFonts w:hint="eastAsia" w:ascii="仿宋_GB2312" w:eastAsia="仿宋_GB2312"/>
          <w:sz w:val="32"/>
          <w:szCs w:val="32"/>
        </w:rPr>
        <w:t>（二）投资协议（或参股企业章程、议事规则等）要明确分红权、人员委派、高管薪酬激励、审计监督、信息公开、安全生产、特定事项否决权、股权退出等重要事项，防止参股股权失控</w:t>
      </w:r>
      <w:r>
        <w:rPr>
          <w:rFonts w:hint="eastAsia" w:ascii="仿宋_GB2312" w:eastAsia="仿宋_GB2312"/>
          <w:sz w:val="32"/>
          <w:szCs w:val="32"/>
          <w:lang w:eastAsia="zh-CN"/>
        </w:rPr>
        <w:t>，</w:t>
      </w:r>
      <w:r>
        <w:rPr>
          <w:rFonts w:hint="eastAsia" w:ascii="仿宋_GB2312" w:eastAsia="仿宋_GB2312"/>
          <w:sz w:val="32"/>
          <w:szCs w:val="32"/>
        </w:rPr>
        <w:t>有效维护国有股东权益。</w:t>
      </w:r>
    </w:p>
    <w:p w14:paraId="3DD1B7EA">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rPr>
      </w:pPr>
      <w:r>
        <w:rPr>
          <w:rFonts w:hint="eastAsia" w:ascii="仿宋_GB2312" w:eastAsia="仿宋_GB2312"/>
          <w:sz w:val="32"/>
          <w:szCs w:val="32"/>
        </w:rPr>
        <w:t>（三）不得选择与企业及其子企业领导人员存在特定关系（配偶、子女及其配偶等亲属关系，以及共同利益关系等）的合作方。</w:t>
      </w:r>
    </w:p>
    <w:p w14:paraId="14B511CF">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rPr>
      </w:pPr>
      <w:r>
        <w:rPr>
          <w:rFonts w:hint="eastAsia" w:ascii="仿宋_GB2312" w:eastAsia="仿宋_GB2312"/>
          <w:sz w:val="32"/>
          <w:szCs w:val="32"/>
        </w:rPr>
        <w:t>（四）不得以股权代持</w:t>
      </w:r>
      <w:r>
        <w:rPr>
          <w:rFonts w:hint="eastAsia" w:ascii="仿宋_GB2312" w:eastAsia="仿宋_GB2312"/>
          <w:sz w:val="32"/>
          <w:szCs w:val="32"/>
          <w:lang w:eastAsia="zh-CN"/>
        </w:rPr>
        <w:t>或</w:t>
      </w:r>
      <w:r>
        <w:rPr>
          <w:rFonts w:hint="eastAsia" w:ascii="仿宋_GB2312" w:eastAsia="仿宋_GB2312"/>
          <w:sz w:val="32"/>
          <w:szCs w:val="32"/>
        </w:rPr>
        <w:t>“名为参股合作，实为借贷融资”的名股实债方式开展参股合作。</w:t>
      </w:r>
    </w:p>
    <w:p w14:paraId="6DC21FB9">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rPr>
      </w:pPr>
      <w:r>
        <w:rPr>
          <w:rFonts w:hint="eastAsia" w:ascii="仿宋_GB2312" w:eastAsia="仿宋_GB2312"/>
          <w:sz w:val="32"/>
          <w:szCs w:val="32"/>
        </w:rPr>
        <w:t>（五）不得将字号、经营资质等无形资产和特许经营权提供给参股企业使用。</w:t>
      </w:r>
    </w:p>
    <w:p w14:paraId="5522F123">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rPr>
      </w:pPr>
      <w:r>
        <w:rPr>
          <w:rFonts w:hint="eastAsia" w:ascii="仿宋_GB2312" w:eastAsia="仿宋_GB2312"/>
          <w:sz w:val="32"/>
          <w:szCs w:val="32"/>
        </w:rPr>
        <w:t>（六）国有企业作为参股股东与其他股东共同出资新设企业，不得对其他股东出资提供垫资，不得先于其他股东缴纳出资。</w:t>
      </w:r>
    </w:p>
    <w:p w14:paraId="293780DA">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rPr>
      </w:pPr>
      <w:r>
        <w:rPr>
          <w:rFonts w:hint="eastAsia" w:ascii="仿宋_GB2312" w:eastAsia="仿宋_GB2312"/>
          <w:sz w:val="32"/>
          <w:szCs w:val="32"/>
        </w:rPr>
        <w:t>（七）以非货币性资产作价出资的参股投资，要通过资产评估的方式确定国有资产价值。</w:t>
      </w:r>
    </w:p>
    <w:p w14:paraId="7AFAE081">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第二十七条</w:t>
      </w:r>
      <w:r>
        <w:rPr>
          <w:rFonts w:hint="eastAsia" w:ascii="仿宋_GB2312" w:eastAsia="仿宋_GB2312"/>
          <w:sz w:val="32"/>
          <w:szCs w:val="32"/>
        </w:rPr>
        <w:t xml:space="preserve">  依据参股企业公司章程，企业必须向参股企业选派具有相应的专业素质和履职能力的股东代表、董事、监事或重要岗位人员，积极发挥股东作用，有效履行股东权责，同时被选派人员要及时将参股企业董事会决策、股东代表大会决议、个人履职情况等重大事项向派出企业报告。</w:t>
      </w:r>
    </w:p>
    <w:p w14:paraId="5A850CE3">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第二十八条</w:t>
      </w:r>
      <w:r>
        <w:rPr>
          <w:rFonts w:hint="eastAsia" w:ascii="仿宋_GB2312" w:eastAsia="仿宋_GB2312"/>
          <w:sz w:val="32"/>
          <w:szCs w:val="32"/>
        </w:rPr>
        <w:t xml:space="preserve">  对于5年以上未分红、长期亏损、经营状况差、与本企业职责定位严重不符、无竞争优势、风险较大的参股企业，一律依法依规退出参股股权，并及时办理工商变更登记。</w:t>
      </w:r>
    </w:p>
    <w:p w14:paraId="769CF522">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第二十九条</w:t>
      </w:r>
      <w:r>
        <w:rPr>
          <w:rFonts w:hint="eastAsia" w:ascii="仿宋_GB2312" w:eastAsia="仿宋_GB2312"/>
          <w:sz w:val="32"/>
          <w:szCs w:val="32"/>
        </w:rPr>
        <w:t xml:space="preserve">  企业参股投资必须报市人民政府批准。</w:t>
      </w:r>
    </w:p>
    <w:p w14:paraId="135D404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eastAsia="黑体"/>
          <w:sz w:val="32"/>
          <w:szCs w:val="32"/>
        </w:rPr>
      </w:pPr>
      <w:r>
        <w:rPr>
          <w:rFonts w:hint="eastAsia" w:ascii="黑体" w:eastAsia="黑体"/>
          <w:sz w:val="32"/>
          <w:szCs w:val="32"/>
        </w:rPr>
        <w:t>第六章  融资担保管理</w:t>
      </w:r>
    </w:p>
    <w:p w14:paraId="5039EFB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eastAsia="楷体_GB2312"/>
          <w:b/>
          <w:sz w:val="32"/>
          <w:szCs w:val="32"/>
        </w:rPr>
      </w:pPr>
      <w:r>
        <w:rPr>
          <w:rFonts w:hint="eastAsia" w:ascii="楷体_GB2312" w:eastAsia="楷体_GB2312"/>
          <w:b/>
          <w:sz w:val="32"/>
          <w:szCs w:val="32"/>
        </w:rPr>
        <w:t>第一节  融资管理</w:t>
      </w:r>
    </w:p>
    <w:p w14:paraId="2436B239">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第三十条</w:t>
      </w:r>
      <w:r>
        <w:rPr>
          <w:rFonts w:hint="eastAsia" w:ascii="仿宋_GB2312" w:eastAsia="仿宋_GB2312"/>
          <w:sz w:val="32"/>
          <w:szCs w:val="32"/>
        </w:rPr>
        <w:t xml:space="preserve">  企业融资是指因自身生产经营活动、投资活动需要进行资金筹措的各类行为，主要包括以银行信贷、非银行金融机构信贷、发行债券等方式开展的间接、直接筹资活动。</w:t>
      </w:r>
    </w:p>
    <w:p w14:paraId="233A4612">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第三十一条</w:t>
      </w:r>
      <w:r>
        <w:rPr>
          <w:rFonts w:hint="eastAsia" w:ascii="仿宋_GB2312" w:eastAsia="仿宋_GB2312"/>
          <w:sz w:val="32"/>
          <w:szCs w:val="32"/>
        </w:rPr>
        <w:t xml:space="preserve">  企业融资应当遵循严格融资程序、聚焦主业发展、优化债务结构、降低融资成本、防范融资风险</w:t>
      </w:r>
      <w:r>
        <w:rPr>
          <w:rFonts w:hint="eastAsia" w:ascii="仿宋_GB2312" w:eastAsia="仿宋_GB2312"/>
          <w:sz w:val="32"/>
          <w:szCs w:val="32"/>
          <w:lang w:eastAsia="zh-CN"/>
        </w:rPr>
        <w:t>的原则</w:t>
      </w:r>
      <w:r>
        <w:rPr>
          <w:rFonts w:hint="eastAsia" w:ascii="仿宋_GB2312" w:eastAsia="仿宋_GB2312"/>
          <w:sz w:val="32"/>
          <w:szCs w:val="32"/>
        </w:rPr>
        <w:t>。</w:t>
      </w:r>
    </w:p>
    <w:p w14:paraId="01CA3524">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第三十二条</w:t>
      </w:r>
      <w:r>
        <w:rPr>
          <w:rFonts w:hint="eastAsia" w:ascii="仿宋_GB2312" w:eastAsia="仿宋_GB2312"/>
          <w:sz w:val="32"/>
          <w:szCs w:val="32"/>
        </w:rPr>
        <w:t xml:space="preserve">  国有各企业是本企业融资活动的责任主体，是融资决策直接责任人，应制订融资管理制度，明确专门管理机构及工作职责、融资决策工作流程、各级子公司融资权限等内容</w:t>
      </w:r>
      <w:r>
        <w:rPr>
          <w:rFonts w:hint="eastAsia" w:ascii="仿宋_GB2312" w:eastAsia="仿宋_GB2312"/>
          <w:sz w:val="32"/>
          <w:szCs w:val="32"/>
          <w:lang w:eastAsia="zh-CN"/>
        </w:rPr>
        <w:t>，</w:t>
      </w:r>
      <w:r>
        <w:rPr>
          <w:rFonts w:hint="eastAsia" w:ascii="仿宋_GB2312" w:eastAsia="仿宋_GB2312"/>
          <w:sz w:val="32"/>
          <w:szCs w:val="32"/>
        </w:rPr>
        <w:t>构建“借、用、管、还”</w:t>
      </w:r>
      <w:r>
        <w:rPr>
          <w:rFonts w:hint="eastAsia" w:ascii="仿宋_GB2312" w:hAnsi="宋体" w:eastAsia="仿宋_GB2312"/>
          <w:sz w:val="32"/>
          <w:szCs w:val="32"/>
        </w:rPr>
        <w:t>及风险防范一体的融资管理体系。</w:t>
      </w:r>
    </w:p>
    <w:p w14:paraId="76FF919E">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hAnsi="宋体" w:eastAsia="楷体_GB2312"/>
          <w:b/>
          <w:sz w:val="32"/>
          <w:szCs w:val="32"/>
        </w:rPr>
      </w:pPr>
      <w:r>
        <w:rPr>
          <w:rFonts w:hint="eastAsia" w:ascii="楷体_GB2312" w:hAnsi="宋体" w:eastAsia="楷体_GB2312"/>
          <w:b/>
          <w:sz w:val="32"/>
          <w:szCs w:val="32"/>
        </w:rPr>
        <w:t>第三十三条</w:t>
      </w:r>
      <w:r>
        <w:rPr>
          <w:rFonts w:hint="eastAsia" w:ascii="仿宋_GB2312" w:hAnsi="宋体" w:eastAsia="仿宋_GB2312"/>
          <w:sz w:val="32"/>
          <w:szCs w:val="32"/>
        </w:rPr>
        <w:t xml:space="preserve">  融资审批</w:t>
      </w:r>
      <w:r>
        <w:rPr>
          <w:rFonts w:hint="eastAsia" w:ascii="仿宋_GB2312" w:hAnsi="宋体" w:eastAsia="仿宋_GB2312"/>
          <w:sz w:val="32"/>
          <w:szCs w:val="32"/>
          <w:lang w:val="en-US" w:eastAsia="zh-CN"/>
        </w:rPr>
        <w:t>:</w:t>
      </w:r>
      <w:r>
        <w:rPr>
          <w:rFonts w:hint="eastAsia" w:ascii="仿宋_GB2312" w:hAnsi="宋体" w:eastAsia="仿宋_GB2312"/>
          <w:sz w:val="32"/>
          <w:szCs w:val="32"/>
        </w:rPr>
        <w:t>企业融资单笔在</w:t>
      </w:r>
      <w:r>
        <w:rPr>
          <w:rFonts w:hint="eastAsia" w:ascii="仿宋_GB2312" w:hAnsi="宋体" w:eastAsia="仿宋_GB2312"/>
          <w:sz w:val="32"/>
          <w:szCs w:val="32"/>
          <w:lang w:val="en-US" w:eastAsia="zh-CN"/>
        </w:rPr>
        <w:t>5</w:t>
      </w:r>
      <w:r>
        <w:rPr>
          <w:rFonts w:hint="eastAsia" w:ascii="仿宋_GB2312" w:hAnsi="宋体" w:eastAsia="仿宋_GB2312"/>
          <w:sz w:val="32"/>
          <w:szCs w:val="32"/>
        </w:rPr>
        <w:t>000万元（含）以下的项目，由企业集体研究同意后报市财政局备案；企业融资单笔在</w:t>
      </w:r>
      <w:r>
        <w:rPr>
          <w:rFonts w:hint="eastAsia" w:ascii="仿宋_GB2312" w:hAnsi="宋体" w:eastAsia="仿宋_GB2312"/>
          <w:sz w:val="32"/>
          <w:szCs w:val="32"/>
          <w:lang w:val="en-US" w:eastAsia="zh-CN"/>
        </w:rPr>
        <w:t>5</w:t>
      </w:r>
      <w:r>
        <w:rPr>
          <w:rFonts w:hint="eastAsia" w:ascii="仿宋_GB2312" w:hAnsi="宋体" w:eastAsia="仿宋_GB2312"/>
          <w:sz w:val="32"/>
          <w:szCs w:val="32"/>
        </w:rPr>
        <w:t>000万元以上的项目，经市财政局审核报市人民政府批准。</w:t>
      </w:r>
    </w:p>
    <w:p w14:paraId="0C0D98ED">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第三十四条</w:t>
      </w:r>
      <w:r>
        <w:rPr>
          <w:rFonts w:hint="eastAsia" w:ascii="仿宋_GB2312" w:eastAsia="仿宋_GB2312"/>
          <w:sz w:val="32"/>
          <w:szCs w:val="32"/>
        </w:rPr>
        <w:t xml:space="preserve">  企业融资审批须报送的材料：</w:t>
      </w:r>
    </w:p>
    <w:p w14:paraId="592494BF">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lang w:eastAsia="zh-CN"/>
        </w:rPr>
      </w:pPr>
      <w:r>
        <w:rPr>
          <w:rFonts w:hint="eastAsia" w:ascii="仿宋_GB2312" w:eastAsia="仿宋_GB2312"/>
          <w:sz w:val="32"/>
          <w:szCs w:val="32"/>
          <w:lang w:eastAsia="zh-CN"/>
        </w:rPr>
        <w:t>（一）</w:t>
      </w:r>
      <w:r>
        <w:rPr>
          <w:rFonts w:hint="eastAsia" w:ascii="仿宋_GB2312" w:eastAsia="仿宋_GB2312"/>
          <w:sz w:val="32"/>
          <w:szCs w:val="32"/>
        </w:rPr>
        <w:t>融资事项请示文件；</w:t>
      </w:r>
    </w:p>
    <w:p w14:paraId="7609A63F">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lang w:eastAsia="zh-CN"/>
        </w:rPr>
      </w:pPr>
      <w:r>
        <w:rPr>
          <w:rFonts w:hint="eastAsia" w:ascii="仿宋_GB2312" w:eastAsia="仿宋_GB2312"/>
          <w:sz w:val="32"/>
          <w:szCs w:val="32"/>
          <w:lang w:eastAsia="zh-CN"/>
        </w:rPr>
        <w:t>（二）</w:t>
      </w:r>
      <w:r>
        <w:rPr>
          <w:rFonts w:hint="eastAsia" w:ascii="仿宋_GB2312" w:eastAsia="仿宋_GB2312"/>
          <w:sz w:val="32"/>
          <w:szCs w:val="32"/>
        </w:rPr>
        <w:t>企业内部决策文件（含董事会决议）；</w:t>
      </w:r>
    </w:p>
    <w:p w14:paraId="5F189289">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lang w:eastAsia="zh-CN"/>
        </w:rPr>
      </w:pPr>
      <w:r>
        <w:rPr>
          <w:rFonts w:hint="eastAsia" w:ascii="仿宋_GB2312" w:eastAsia="仿宋_GB2312"/>
          <w:sz w:val="32"/>
          <w:szCs w:val="32"/>
          <w:lang w:eastAsia="zh-CN"/>
        </w:rPr>
        <w:t>（三）</w:t>
      </w:r>
      <w:r>
        <w:rPr>
          <w:rFonts w:hint="eastAsia" w:ascii="仿宋_GB2312" w:eastAsia="仿宋_GB2312"/>
          <w:sz w:val="32"/>
          <w:szCs w:val="32"/>
        </w:rPr>
        <w:t>融资方案；</w:t>
      </w:r>
    </w:p>
    <w:p w14:paraId="6A86A88C">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lang w:eastAsia="zh-CN"/>
        </w:rPr>
      </w:pPr>
      <w:r>
        <w:rPr>
          <w:rFonts w:hint="eastAsia" w:ascii="仿宋_GB2312" w:eastAsia="仿宋_GB2312"/>
          <w:sz w:val="32"/>
          <w:szCs w:val="32"/>
          <w:lang w:eastAsia="zh-CN"/>
        </w:rPr>
        <w:t>（四）</w:t>
      </w:r>
      <w:r>
        <w:rPr>
          <w:rFonts w:hint="eastAsia" w:ascii="仿宋_GB2312" w:eastAsia="仿宋_GB2312"/>
          <w:sz w:val="32"/>
          <w:szCs w:val="32"/>
        </w:rPr>
        <w:t>可行性研究报告、法律意见书；</w:t>
      </w:r>
    </w:p>
    <w:p w14:paraId="2E721962">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lang w:eastAsia="zh-CN"/>
        </w:rPr>
      </w:pPr>
      <w:r>
        <w:rPr>
          <w:rFonts w:hint="eastAsia" w:ascii="仿宋_GB2312" w:eastAsia="仿宋_GB2312"/>
          <w:sz w:val="32"/>
          <w:szCs w:val="32"/>
          <w:lang w:eastAsia="zh-CN"/>
        </w:rPr>
        <w:t>（五）</w:t>
      </w:r>
      <w:r>
        <w:rPr>
          <w:rFonts w:hint="eastAsia" w:ascii="仿宋_GB2312" w:eastAsia="仿宋_GB2312"/>
          <w:sz w:val="32"/>
          <w:szCs w:val="32"/>
        </w:rPr>
        <w:t>其他必要材料。</w:t>
      </w:r>
    </w:p>
    <w:p w14:paraId="49720764">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hAnsi="宋体" w:eastAsia="楷体_GB2312"/>
          <w:b/>
          <w:sz w:val="32"/>
          <w:szCs w:val="32"/>
        </w:rPr>
      </w:pPr>
      <w:r>
        <w:rPr>
          <w:rFonts w:hint="eastAsia" w:ascii="楷体_GB2312" w:hAnsi="宋体" w:eastAsia="楷体_GB2312"/>
          <w:b/>
          <w:sz w:val="32"/>
          <w:szCs w:val="32"/>
        </w:rPr>
        <w:t>第三十五条</w:t>
      </w:r>
      <w:r>
        <w:rPr>
          <w:rFonts w:hint="eastAsia" w:ascii="仿宋_GB2312" w:hAnsi="宋体" w:eastAsia="仿宋_GB2312"/>
          <w:sz w:val="32"/>
          <w:szCs w:val="32"/>
        </w:rPr>
        <w:t xml:space="preserve">  企业融资过程中涉及的各类中介机构（包括财务顾问、承销机构、计划管理人、信用评级机构、会计师事务所、律师事务所、评估公司等）应遵循公平、公正、公开竞争和择优的原则。中介机构单项费用低于30万元的企业依法按程序选择确定，单项费用高于30万元（含）且低于50万元的企业应通过公开竞价、竞争性谈判等公开方式确定，单项费用高于50万元</w:t>
      </w:r>
      <w:r>
        <w:rPr>
          <w:rFonts w:hint="eastAsia" w:ascii="仿宋_GB2312" w:hAnsi="宋体" w:eastAsia="仿宋_GB2312"/>
          <w:sz w:val="32"/>
          <w:szCs w:val="32"/>
          <w:lang w:eastAsia="zh-CN"/>
        </w:rPr>
        <w:t>（含）</w:t>
      </w:r>
      <w:r>
        <w:rPr>
          <w:rFonts w:hint="eastAsia" w:ascii="仿宋_GB2312" w:hAnsi="宋体" w:eastAsia="仿宋_GB2312"/>
          <w:sz w:val="32"/>
          <w:szCs w:val="32"/>
        </w:rPr>
        <w:t>的原则上应采取公开招标方式确定。</w:t>
      </w:r>
    </w:p>
    <w:p w14:paraId="4D1A609E">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 xml:space="preserve">第三十六条  </w:t>
      </w:r>
      <w:r>
        <w:rPr>
          <w:rFonts w:hint="eastAsia" w:ascii="仿宋_GB2312" w:eastAsia="仿宋_GB2312"/>
          <w:sz w:val="32"/>
          <w:szCs w:val="32"/>
        </w:rPr>
        <w:t>企业融资的禁止事项：</w:t>
      </w:r>
    </w:p>
    <w:p w14:paraId="39E1F822">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lang w:eastAsia="zh-CN"/>
        </w:rPr>
      </w:pPr>
      <w:r>
        <w:rPr>
          <w:rFonts w:hint="eastAsia" w:ascii="仿宋_GB2312" w:eastAsia="仿宋_GB2312"/>
          <w:sz w:val="32"/>
          <w:szCs w:val="32"/>
          <w:lang w:eastAsia="zh-CN"/>
        </w:rPr>
        <w:t>（一）</w:t>
      </w:r>
      <w:r>
        <w:rPr>
          <w:rFonts w:hint="eastAsia" w:ascii="仿宋_GB2312" w:eastAsia="仿宋_GB2312"/>
          <w:sz w:val="32"/>
          <w:szCs w:val="32"/>
        </w:rPr>
        <w:t>综合融资成本原则上控制在</w:t>
      </w:r>
      <w:r>
        <w:rPr>
          <w:rFonts w:hint="eastAsia" w:ascii="仿宋_GB2312" w:eastAsia="仿宋_GB2312"/>
          <w:sz w:val="32"/>
          <w:szCs w:val="32"/>
          <w:lang w:val="en-US" w:eastAsia="zh-CN"/>
        </w:rPr>
        <w:t>5</w:t>
      </w:r>
      <w:r>
        <w:rPr>
          <w:rFonts w:hint="eastAsia" w:ascii="仿宋_GB2312" w:eastAsia="仿宋_GB2312"/>
          <w:sz w:val="32"/>
          <w:szCs w:val="32"/>
        </w:rPr>
        <w:t>%以内，严禁超过7％；</w:t>
      </w:r>
    </w:p>
    <w:p w14:paraId="7E978519">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lang w:eastAsia="zh-CN"/>
        </w:rPr>
      </w:pPr>
      <w:r>
        <w:rPr>
          <w:rFonts w:hint="eastAsia" w:ascii="仿宋_GB2312" w:eastAsia="仿宋_GB2312"/>
          <w:sz w:val="32"/>
          <w:szCs w:val="32"/>
          <w:lang w:eastAsia="zh-CN"/>
        </w:rPr>
        <w:t>（二）</w:t>
      </w:r>
      <w:r>
        <w:rPr>
          <w:rFonts w:hint="eastAsia" w:ascii="仿宋_GB2312" w:eastAsia="仿宋_GB2312"/>
          <w:sz w:val="32"/>
          <w:szCs w:val="32"/>
        </w:rPr>
        <w:t>严禁以任何形式为地方政府及其部门举借债务，或以任何形式产生以政府财政收入作为还款来源，增加政府隐性负债的融资行为；</w:t>
      </w:r>
    </w:p>
    <w:p w14:paraId="17DD8ADE">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lang w:eastAsia="zh-CN"/>
        </w:rPr>
      </w:pPr>
      <w:r>
        <w:rPr>
          <w:rFonts w:hint="eastAsia" w:ascii="仿宋_GB2312" w:eastAsia="仿宋_GB2312"/>
          <w:sz w:val="32"/>
          <w:szCs w:val="32"/>
          <w:lang w:eastAsia="zh-CN"/>
        </w:rPr>
        <w:t>（三）</w:t>
      </w:r>
      <w:r>
        <w:rPr>
          <w:rFonts w:hint="eastAsia" w:ascii="仿宋_GB2312" w:eastAsia="仿宋_GB2312"/>
          <w:sz w:val="32"/>
          <w:szCs w:val="32"/>
        </w:rPr>
        <w:t>严禁利用没有收益的公益性资产</w:t>
      </w:r>
      <w:r>
        <w:rPr>
          <w:rFonts w:hint="eastAsia" w:ascii="仿宋_GB2312" w:eastAsia="仿宋_GB2312"/>
          <w:sz w:val="32"/>
          <w:szCs w:val="32"/>
          <w:lang w:eastAsia="zh-CN"/>
        </w:rPr>
        <w:t>、</w:t>
      </w:r>
      <w:r>
        <w:rPr>
          <w:rFonts w:hint="eastAsia" w:ascii="仿宋_GB2312" w:eastAsia="仿宋_GB2312"/>
          <w:sz w:val="32"/>
          <w:szCs w:val="32"/>
        </w:rPr>
        <w:t>不具有合法合规产权的经营性资产开展抵（质）押贷款或发行信托、证券化产品等各类金融产品融资；</w:t>
      </w:r>
    </w:p>
    <w:p w14:paraId="5B04112A">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lang w:eastAsia="zh-CN"/>
        </w:rPr>
      </w:pPr>
      <w:r>
        <w:rPr>
          <w:rFonts w:hint="eastAsia" w:ascii="仿宋_GB2312" w:eastAsia="仿宋_GB2312"/>
          <w:sz w:val="32"/>
          <w:szCs w:val="32"/>
          <w:lang w:eastAsia="zh-CN"/>
        </w:rPr>
        <w:t>（四）</w:t>
      </w:r>
      <w:r>
        <w:rPr>
          <w:rFonts w:hint="eastAsia" w:ascii="仿宋_GB2312" w:eastAsia="仿宋_GB2312"/>
          <w:sz w:val="32"/>
          <w:szCs w:val="32"/>
        </w:rPr>
        <w:t>不得举借没有偿债资金来源</w:t>
      </w:r>
      <w:r>
        <w:rPr>
          <w:rFonts w:hint="eastAsia" w:ascii="仿宋_GB2312" w:eastAsia="仿宋_GB2312"/>
          <w:sz w:val="32"/>
          <w:szCs w:val="32"/>
          <w:lang w:eastAsia="zh-CN"/>
        </w:rPr>
        <w:t>的</w:t>
      </w:r>
      <w:r>
        <w:rPr>
          <w:rFonts w:hint="eastAsia" w:ascii="仿宋_GB2312" w:eastAsia="仿宋_GB2312"/>
          <w:sz w:val="32"/>
          <w:szCs w:val="32"/>
        </w:rPr>
        <w:t>债务。</w:t>
      </w:r>
    </w:p>
    <w:p w14:paraId="422D4AD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eastAsia="楷体_GB2312"/>
          <w:b/>
          <w:sz w:val="32"/>
          <w:szCs w:val="32"/>
        </w:rPr>
      </w:pPr>
      <w:r>
        <w:rPr>
          <w:rFonts w:hint="eastAsia" w:ascii="楷体_GB2312" w:eastAsia="楷体_GB2312"/>
          <w:b/>
          <w:sz w:val="32"/>
          <w:szCs w:val="32"/>
        </w:rPr>
        <w:t>第二节  担保管理</w:t>
      </w:r>
    </w:p>
    <w:p w14:paraId="0A483F98">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第三十七条</w:t>
      </w:r>
      <w:r>
        <w:rPr>
          <w:rFonts w:hint="eastAsia" w:ascii="仿宋_GB2312" w:eastAsia="仿宋_GB2312"/>
          <w:sz w:val="32"/>
          <w:szCs w:val="32"/>
        </w:rPr>
        <w:t xml:space="preserve">  企业开展融资担保业务应坚持量力而行、权责对等、风险可控原则。</w:t>
      </w:r>
    </w:p>
    <w:p w14:paraId="2CA5D829">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第三十八条</w:t>
      </w:r>
      <w:r>
        <w:rPr>
          <w:rFonts w:hint="eastAsia" w:ascii="仿宋_GB2312" w:eastAsia="仿宋_GB2312"/>
          <w:sz w:val="32"/>
          <w:szCs w:val="32"/>
        </w:rPr>
        <w:t xml:space="preserve">  企业应当制定和完善融资担保管理制度，明确融资担保权限和限额、担保费率水平，落实管理部门和责任，规范内部审核程序。</w:t>
      </w:r>
    </w:p>
    <w:p w14:paraId="2BE4E078">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第三十九条</w:t>
      </w:r>
      <w:r>
        <w:rPr>
          <w:rFonts w:hint="eastAsia" w:ascii="仿宋_GB2312" w:eastAsia="仿宋_GB2312"/>
          <w:sz w:val="32"/>
          <w:szCs w:val="32"/>
        </w:rPr>
        <w:t xml:space="preserve">  企业严禁对自然人及民营企业提供任何形式的担保（融资担保机构除外），对具备持续经营能力和偿债能力的子企业或参股企业因生产、经营确需担保的，经市人民政府批准，企业应根据自身承受能力合理确定担保规模，原则上担保规模不得超过本企业净资产的30％。</w:t>
      </w:r>
    </w:p>
    <w:p w14:paraId="28E233F2">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第四十条</w:t>
      </w:r>
      <w:r>
        <w:rPr>
          <w:rFonts w:hint="eastAsia" w:ascii="仿宋_GB2312" w:eastAsia="仿宋_GB2312"/>
          <w:sz w:val="32"/>
          <w:szCs w:val="32"/>
        </w:rPr>
        <w:t xml:space="preserve">  企业应建立融资担保风险信息报告制度，对企业预计无法按期足额支付到期债务本息事项，提前3个月以上书面报告市人民政府</w:t>
      </w:r>
      <w:r>
        <w:rPr>
          <w:rFonts w:hint="eastAsia" w:ascii="仿宋_GB2312" w:eastAsia="仿宋_GB2312"/>
          <w:sz w:val="32"/>
          <w:szCs w:val="32"/>
          <w:lang w:eastAsia="zh-CN"/>
        </w:rPr>
        <w:t>。</w:t>
      </w:r>
      <w:r>
        <w:rPr>
          <w:rFonts w:hint="eastAsia" w:ascii="仿宋_GB2312" w:eastAsia="仿宋_GB2312"/>
          <w:sz w:val="32"/>
          <w:szCs w:val="32"/>
        </w:rPr>
        <w:t>报告主要内容：预计发生违约债务类别、债务人、债权人、期限、本息、风险产生原因、事态发展趋势</w:t>
      </w:r>
      <w:r>
        <w:rPr>
          <w:rFonts w:hint="eastAsia" w:ascii="仿宋_GB2312" w:eastAsia="仿宋_GB2312"/>
          <w:sz w:val="32"/>
          <w:szCs w:val="32"/>
          <w:lang w:eastAsia="zh-CN"/>
        </w:rPr>
        <w:t>、</w:t>
      </w:r>
      <w:r>
        <w:rPr>
          <w:rFonts w:hint="eastAsia" w:ascii="仿宋_GB2312" w:eastAsia="仿宋_GB2312"/>
          <w:sz w:val="32"/>
          <w:szCs w:val="32"/>
        </w:rPr>
        <w:t>可能造成的损失或影响</w:t>
      </w:r>
      <w:r>
        <w:rPr>
          <w:rFonts w:hint="eastAsia" w:ascii="仿宋_GB2312" w:eastAsia="仿宋_GB2312"/>
          <w:sz w:val="32"/>
          <w:szCs w:val="32"/>
          <w:lang w:eastAsia="zh-CN"/>
        </w:rPr>
        <w:t>、</w:t>
      </w:r>
      <w:r>
        <w:rPr>
          <w:rFonts w:hint="eastAsia" w:ascii="仿宋_GB2312" w:eastAsia="仿宋_GB2312"/>
          <w:sz w:val="32"/>
          <w:szCs w:val="32"/>
        </w:rPr>
        <w:t>已采取的应对措施等。</w:t>
      </w:r>
    </w:p>
    <w:p w14:paraId="426E921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eastAsia="黑体"/>
          <w:sz w:val="32"/>
          <w:szCs w:val="32"/>
        </w:rPr>
      </w:pPr>
      <w:r>
        <w:rPr>
          <w:rFonts w:hint="eastAsia" w:ascii="黑体" w:eastAsia="黑体"/>
          <w:sz w:val="32"/>
          <w:szCs w:val="32"/>
        </w:rPr>
        <w:t>第</w:t>
      </w:r>
      <w:r>
        <w:rPr>
          <w:rFonts w:hint="eastAsia" w:ascii="黑体" w:eastAsia="黑体"/>
          <w:sz w:val="32"/>
          <w:szCs w:val="32"/>
          <w:lang w:eastAsia="zh-CN"/>
        </w:rPr>
        <w:t>七</w:t>
      </w:r>
      <w:r>
        <w:rPr>
          <w:rFonts w:hint="eastAsia" w:ascii="黑体" w:eastAsia="黑体"/>
          <w:sz w:val="32"/>
          <w:szCs w:val="32"/>
        </w:rPr>
        <w:t>章  资产管理</w:t>
      </w:r>
    </w:p>
    <w:p w14:paraId="658B6E9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eastAsia="楷体_GB2312"/>
          <w:b/>
          <w:sz w:val="32"/>
          <w:szCs w:val="32"/>
        </w:rPr>
      </w:pPr>
      <w:r>
        <w:rPr>
          <w:rFonts w:hint="eastAsia" w:ascii="楷体_GB2312" w:eastAsia="楷体_GB2312"/>
          <w:b/>
          <w:sz w:val="32"/>
          <w:szCs w:val="32"/>
        </w:rPr>
        <w:t>第一节  经营性资产租赁</w:t>
      </w:r>
    </w:p>
    <w:p w14:paraId="085B9005">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第四十</w:t>
      </w:r>
      <w:r>
        <w:rPr>
          <w:rFonts w:hint="eastAsia" w:ascii="楷体_GB2312" w:eastAsia="楷体_GB2312"/>
          <w:b/>
          <w:sz w:val="32"/>
          <w:szCs w:val="32"/>
          <w:lang w:eastAsia="zh-CN"/>
        </w:rPr>
        <w:t>一</w:t>
      </w:r>
      <w:r>
        <w:rPr>
          <w:rFonts w:hint="eastAsia" w:ascii="楷体_GB2312" w:eastAsia="楷体_GB2312"/>
          <w:b/>
          <w:sz w:val="32"/>
          <w:szCs w:val="32"/>
        </w:rPr>
        <w:t>条</w:t>
      </w:r>
      <w:r>
        <w:rPr>
          <w:rFonts w:hint="eastAsia" w:ascii="仿宋_GB2312" w:eastAsia="仿宋_GB2312"/>
          <w:sz w:val="32"/>
          <w:szCs w:val="32"/>
        </w:rPr>
        <w:t xml:space="preserve">  企业应加强经营性国有资产出租管理，建立相应台</w:t>
      </w:r>
      <w:r>
        <w:rPr>
          <w:rFonts w:hint="eastAsia" w:ascii="仿宋_GB2312" w:eastAsia="仿宋_GB2312"/>
          <w:sz w:val="32"/>
          <w:szCs w:val="32"/>
          <w:lang w:eastAsia="zh-CN"/>
        </w:rPr>
        <w:t>账</w:t>
      </w:r>
      <w:r>
        <w:rPr>
          <w:rFonts w:hint="eastAsia" w:ascii="仿宋_GB2312" w:eastAsia="仿宋_GB2312"/>
          <w:sz w:val="32"/>
          <w:szCs w:val="32"/>
        </w:rPr>
        <w:t>，确保产权清晰、界址分明。</w:t>
      </w:r>
    </w:p>
    <w:p w14:paraId="36A76ADB">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第四十</w:t>
      </w:r>
      <w:r>
        <w:rPr>
          <w:rFonts w:hint="eastAsia" w:ascii="楷体_GB2312" w:eastAsia="楷体_GB2312"/>
          <w:b/>
          <w:sz w:val="32"/>
          <w:szCs w:val="32"/>
          <w:lang w:eastAsia="zh-CN"/>
        </w:rPr>
        <w:t>二</w:t>
      </w:r>
      <w:r>
        <w:rPr>
          <w:rFonts w:hint="eastAsia" w:ascii="楷体_GB2312" w:eastAsia="楷体_GB2312"/>
          <w:b/>
          <w:sz w:val="32"/>
          <w:szCs w:val="32"/>
        </w:rPr>
        <w:t>条</w:t>
      </w:r>
      <w:r>
        <w:rPr>
          <w:rFonts w:hint="eastAsia" w:ascii="仿宋_GB2312" w:eastAsia="仿宋_GB2312"/>
          <w:sz w:val="32"/>
          <w:szCs w:val="32"/>
        </w:rPr>
        <w:t xml:space="preserve">  企业经营性资产对外出租，必须坚持公平、公正、公开、有偿的原则，拟定资产出租方案，报市财政局批准后，实施公开招租，按照“价高者得”确定承租人。</w:t>
      </w:r>
    </w:p>
    <w:p w14:paraId="42DE6166">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第四十</w:t>
      </w:r>
      <w:r>
        <w:rPr>
          <w:rFonts w:hint="eastAsia" w:ascii="楷体_GB2312" w:eastAsia="楷体_GB2312"/>
          <w:b/>
          <w:sz w:val="32"/>
          <w:szCs w:val="32"/>
          <w:lang w:eastAsia="zh-CN"/>
        </w:rPr>
        <w:t>三</w:t>
      </w:r>
      <w:r>
        <w:rPr>
          <w:rFonts w:hint="eastAsia" w:ascii="楷体_GB2312" w:eastAsia="楷体_GB2312"/>
          <w:b/>
          <w:sz w:val="32"/>
          <w:szCs w:val="32"/>
        </w:rPr>
        <w:t>条</w:t>
      </w:r>
      <w:r>
        <w:rPr>
          <w:rFonts w:hint="eastAsia" w:ascii="仿宋_GB2312" w:eastAsia="仿宋_GB2312"/>
          <w:sz w:val="32"/>
          <w:szCs w:val="32"/>
        </w:rPr>
        <w:t xml:space="preserve">  企业经营性资产租赁底价以评估价格或市场询价作为参考依据</w:t>
      </w:r>
      <w:r>
        <w:rPr>
          <w:rFonts w:hint="eastAsia" w:ascii="仿宋_GB2312" w:eastAsia="仿宋_GB2312"/>
          <w:sz w:val="32"/>
          <w:szCs w:val="32"/>
          <w:lang w:eastAsia="zh-CN"/>
        </w:rPr>
        <w:t>。</w:t>
      </w:r>
    </w:p>
    <w:p w14:paraId="18C9C699">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第四十</w:t>
      </w:r>
      <w:r>
        <w:rPr>
          <w:rFonts w:hint="eastAsia" w:ascii="楷体_GB2312" w:eastAsia="楷体_GB2312"/>
          <w:b/>
          <w:sz w:val="32"/>
          <w:szCs w:val="32"/>
          <w:lang w:eastAsia="zh-CN"/>
        </w:rPr>
        <w:t>四</w:t>
      </w:r>
      <w:r>
        <w:rPr>
          <w:rFonts w:hint="eastAsia" w:ascii="楷体_GB2312" w:eastAsia="楷体_GB2312"/>
          <w:b/>
          <w:sz w:val="32"/>
          <w:szCs w:val="32"/>
        </w:rPr>
        <w:t>条</w:t>
      </w:r>
      <w:r>
        <w:rPr>
          <w:rFonts w:hint="eastAsia" w:ascii="仿宋_GB2312" w:eastAsia="仿宋_GB2312"/>
          <w:sz w:val="32"/>
          <w:szCs w:val="32"/>
        </w:rPr>
        <w:t xml:space="preserve">  资产租赁期限原则上可分为一年、三年、五年、七年。具体年限可视不同项目、不同行业确定，超过三年以上的须在租赁合同中明确租赁收入的递增机制，超过七年以上</w:t>
      </w:r>
      <w:r>
        <w:rPr>
          <w:rFonts w:hint="eastAsia" w:ascii="仿宋_GB2312" w:eastAsia="仿宋_GB2312"/>
          <w:sz w:val="32"/>
          <w:szCs w:val="32"/>
          <w:lang w:eastAsia="zh-CN"/>
        </w:rPr>
        <w:t>的须</w:t>
      </w:r>
      <w:r>
        <w:rPr>
          <w:rFonts w:hint="eastAsia" w:ascii="仿宋_GB2312" w:eastAsia="仿宋_GB2312"/>
          <w:sz w:val="32"/>
          <w:szCs w:val="32"/>
        </w:rPr>
        <w:t>报市人民政府批准，合同期限内不得随意降低租赁收入收取租金。</w:t>
      </w:r>
    </w:p>
    <w:p w14:paraId="0B760751">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第四十</w:t>
      </w:r>
      <w:r>
        <w:rPr>
          <w:rFonts w:hint="eastAsia" w:ascii="楷体_GB2312" w:eastAsia="楷体_GB2312"/>
          <w:b/>
          <w:sz w:val="32"/>
          <w:szCs w:val="32"/>
          <w:lang w:eastAsia="zh-CN"/>
        </w:rPr>
        <w:t>五</w:t>
      </w:r>
      <w:r>
        <w:rPr>
          <w:rFonts w:hint="eastAsia" w:ascii="楷体_GB2312" w:eastAsia="楷体_GB2312"/>
          <w:b/>
          <w:sz w:val="32"/>
          <w:szCs w:val="32"/>
        </w:rPr>
        <w:t>条</w:t>
      </w:r>
      <w:r>
        <w:rPr>
          <w:rFonts w:hint="eastAsia" w:ascii="仿宋_GB2312" w:eastAsia="仿宋_GB2312"/>
          <w:sz w:val="32"/>
          <w:szCs w:val="32"/>
        </w:rPr>
        <w:t xml:space="preserve">  对市级以上招商引资项目的资产出租，可按招商引资有关规定办理。</w:t>
      </w:r>
    </w:p>
    <w:p w14:paraId="6E4A9F36">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第四十</w:t>
      </w:r>
      <w:r>
        <w:rPr>
          <w:rFonts w:hint="eastAsia" w:ascii="楷体_GB2312" w:eastAsia="楷体_GB2312"/>
          <w:b/>
          <w:sz w:val="32"/>
          <w:szCs w:val="32"/>
          <w:lang w:eastAsia="zh-CN"/>
        </w:rPr>
        <w:t>六</w:t>
      </w:r>
      <w:r>
        <w:rPr>
          <w:rFonts w:hint="eastAsia" w:ascii="楷体_GB2312" w:eastAsia="楷体_GB2312"/>
          <w:b/>
          <w:sz w:val="32"/>
          <w:szCs w:val="32"/>
        </w:rPr>
        <w:t xml:space="preserve">条  </w:t>
      </w:r>
      <w:r>
        <w:rPr>
          <w:rFonts w:hint="eastAsia" w:ascii="仿宋_GB2312" w:eastAsia="仿宋_GB2312"/>
          <w:sz w:val="32"/>
          <w:szCs w:val="32"/>
        </w:rPr>
        <w:t>符合以下情形之一的可以协议租赁：</w:t>
      </w:r>
    </w:p>
    <w:p w14:paraId="00FF4B0F">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rPr>
      </w:pPr>
      <w:r>
        <w:rPr>
          <w:rFonts w:hint="eastAsia" w:ascii="仿宋_GB2312" w:eastAsia="仿宋_GB2312"/>
          <w:sz w:val="32"/>
          <w:szCs w:val="32"/>
        </w:rPr>
        <w:t>（一）经市</w:t>
      </w:r>
      <w:r>
        <w:rPr>
          <w:rFonts w:hint="eastAsia" w:ascii="仿宋_GB2312" w:eastAsia="仿宋_GB2312"/>
          <w:sz w:val="32"/>
          <w:szCs w:val="32"/>
          <w:lang w:eastAsia="zh-CN"/>
        </w:rPr>
        <w:t>人民</w:t>
      </w:r>
      <w:r>
        <w:rPr>
          <w:rFonts w:hint="eastAsia" w:ascii="仿宋_GB2312" w:eastAsia="仿宋_GB2312"/>
          <w:sz w:val="32"/>
          <w:szCs w:val="32"/>
        </w:rPr>
        <w:t>政府会议集体研究同意租赁给行政事业单位的；</w:t>
      </w:r>
    </w:p>
    <w:p w14:paraId="13B1D3BA">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二</w:t>
      </w:r>
      <w:r>
        <w:rPr>
          <w:rFonts w:hint="eastAsia" w:ascii="仿宋_GB2312" w:eastAsia="仿宋_GB2312"/>
          <w:sz w:val="32"/>
          <w:szCs w:val="32"/>
        </w:rPr>
        <w:t>）集团公司与其子公司之间租赁的；</w:t>
      </w:r>
    </w:p>
    <w:p w14:paraId="7EA19563">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三</w:t>
      </w:r>
      <w:r>
        <w:rPr>
          <w:rFonts w:hint="eastAsia" w:ascii="仿宋_GB2312" w:eastAsia="仿宋_GB2312"/>
          <w:sz w:val="32"/>
          <w:szCs w:val="32"/>
        </w:rPr>
        <w:t>）公开招租两次流标后，经集体研究同意的。</w:t>
      </w:r>
    </w:p>
    <w:p w14:paraId="4BC5B68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eastAsia="楷体_GB2312"/>
          <w:b/>
          <w:sz w:val="32"/>
          <w:szCs w:val="32"/>
        </w:rPr>
      </w:pPr>
      <w:r>
        <w:rPr>
          <w:rFonts w:hint="eastAsia" w:ascii="楷体_GB2312" w:eastAsia="楷体_GB2312"/>
          <w:b/>
          <w:sz w:val="32"/>
          <w:szCs w:val="32"/>
        </w:rPr>
        <w:t>第二节  非经营性资产购置</w:t>
      </w:r>
    </w:p>
    <w:p w14:paraId="3D27AA86">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第四十</w:t>
      </w:r>
      <w:r>
        <w:rPr>
          <w:rFonts w:hint="eastAsia" w:ascii="楷体_GB2312" w:eastAsia="楷体_GB2312"/>
          <w:b/>
          <w:sz w:val="32"/>
          <w:szCs w:val="32"/>
          <w:lang w:eastAsia="zh-CN"/>
        </w:rPr>
        <w:t>七</w:t>
      </w:r>
      <w:r>
        <w:rPr>
          <w:rFonts w:hint="eastAsia" w:ascii="楷体_GB2312" w:eastAsia="楷体_GB2312"/>
          <w:b/>
          <w:sz w:val="32"/>
          <w:szCs w:val="32"/>
        </w:rPr>
        <w:t xml:space="preserve">条  </w:t>
      </w:r>
      <w:r>
        <w:rPr>
          <w:rFonts w:hint="eastAsia" w:ascii="仿宋_GB2312" w:eastAsia="仿宋_GB2312"/>
          <w:sz w:val="32"/>
          <w:szCs w:val="32"/>
        </w:rPr>
        <w:t>企业购置非经营性资产应秉着“厉行节约、合理配置”的原则，遵守国家相关法律、法规、规章，建立严格的内部决策程序。</w:t>
      </w:r>
    </w:p>
    <w:p w14:paraId="6F6C9A86">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第四十</w:t>
      </w:r>
      <w:r>
        <w:rPr>
          <w:rFonts w:hint="eastAsia" w:ascii="楷体_GB2312" w:eastAsia="楷体_GB2312"/>
          <w:b/>
          <w:sz w:val="32"/>
          <w:szCs w:val="32"/>
          <w:lang w:eastAsia="zh-CN"/>
        </w:rPr>
        <w:t>八</w:t>
      </w:r>
      <w:r>
        <w:rPr>
          <w:rFonts w:hint="eastAsia" w:ascii="楷体_GB2312" w:eastAsia="楷体_GB2312"/>
          <w:b/>
          <w:sz w:val="32"/>
          <w:szCs w:val="32"/>
        </w:rPr>
        <w:t>条</w:t>
      </w:r>
      <w:r>
        <w:rPr>
          <w:rFonts w:hint="eastAsia" w:ascii="仿宋_GB2312" w:eastAsia="仿宋_GB2312"/>
          <w:sz w:val="32"/>
          <w:szCs w:val="32"/>
        </w:rPr>
        <w:t xml:space="preserve">  企业购置办公用具、设备等非经营性固定资产，按行政事业单位资产配置标准报市财政局审批。购置车辆由市财政局审核后报市公车领导小组研究审批。</w:t>
      </w:r>
    </w:p>
    <w:p w14:paraId="04A5687B">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第四十</w:t>
      </w:r>
      <w:r>
        <w:rPr>
          <w:rFonts w:hint="eastAsia" w:ascii="楷体_GB2312" w:eastAsia="楷体_GB2312"/>
          <w:b/>
          <w:sz w:val="32"/>
          <w:szCs w:val="32"/>
          <w:lang w:eastAsia="zh-CN"/>
        </w:rPr>
        <w:t>九</w:t>
      </w:r>
      <w:r>
        <w:rPr>
          <w:rFonts w:hint="eastAsia" w:ascii="楷体_GB2312" w:eastAsia="楷体_GB2312"/>
          <w:b/>
          <w:sz w:val="32"/>
          <w:szCs w:val="32"/>
        </w:rPr>
        <w:t>条</w:t>
      </w:r>
      <w:r>
        <w:rPr>
          <w:rFonts w:hint="eastAsia" w:ascii="仿宋_GB2312" w:eastAsia="仿宋_GB2312"/>
          <w:sz w:val="32"/>
          <w:szCs w:val="32"/>
        </w:rPr>
        <w:t xml:space="preserve">  企业购置非经营性固定资产单价在2万元</w:t>
      </w:r>
      <w:r>
        <w:rPr>
          <w:rFonts w:hint="eastAsia" w:ascii="仿宋_GB2312" w:eastAsia="仿宋_GB2312"/>
          <w:sz w:val="32"/>
          <w:szCs w:val="32"/>
          <w:lang w:eastAsia="zh-CN"/>
        </w:rPr>
        <w:t>（含）</w:t>
      </w:r>
      <w:r>
        <w:rPr>
          <w:rFonts w:hint="eastAsia" w:ascii="仿宋_GB2312" w:eastAsia="仿宋_GB2312"/>
          <w:sz w:val="32"/>
          <w:szCs w:val="32"/>
        </w:rPr>
        <w:t>以下或批量在5万元</w:t>
      </w:r>
      <w:r>
        <w:rPr>
          <w:rFonts w:hint="eastAsia" w:ascii="仿宋_GB2312" w:eastAsia="仿宋_GB2312"/>
          <w:sz w:val="32"/>
          <w:szCs w:val="32"/>
          <w:lang w:eastAsia="zh-CN"/>
        </w:rPr>
        <w:t>（含）</w:t>
      </w:r>
      <w:r>
        <w:rPr>
          <w:rFonts w:hint="eastAsia" w:ascii="仿宋_GB2312" w:eastAsia="仿宋_GB2312"/>
          <w:sz w:val="32"/>
          <w:szCs w:val="32"/>
        </w:rPr>
        <w:t>以下的，由其按企业内部管理程序自行研究决定。单价或批量超过此标准的，企业提出申请，报市财政局审批。批量购置资产50万元（含）以上的报市人民政府审批。</w:t>
      </w:r>
    </w:p>
    <w:p w14:paraId="748ED63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eastAsia="楷体_GB2312"/>
          <w:b/>
          <w:sz w:val="32"/>
          <w:szCs w:val="32"/>
        </w:rPr>
      </w:pPr>
      <w:r>
        <w:rPr>
          <w:rFonts w:hint="eastAsia" w:ascii="楷体_GB2312" w:eastAsia="楷体_GB2312"/>
          <w:b/>
          <w:sz w:val="32"/>
          <w:szCs w:val="32"/>
        </w:rPr>
        <w:t>第三节  资产交易</w:t>
      </w:r>
    </w:p>
    <w:p w14:paraId="2E181401">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第五十条</w:t>
      </w:r>
      <w:r>
        <w:rPr>
          <w:rFonts w:hint="eastAsia" w:ascii="仿宋_GB2312" w:eastAsia="仿宋_GB2312"/>
          <w:sz w:val="32"/>
          <w:szCs w:val="32"/>
        </w:rPr>
        <w:t xml:space="preserve">  企业国有资产交易包括：产权转让、资产转让、对外捐赠、资产报损、资产报废等。</w:t>
      </w:r>
    </w:p>
    <w:p w14:paraId="35CDCF97">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第五十</w:t>
      </w:r>
      <w:r>
        <w:rPr>
          <w:rFonts w:hint="eastAsia" w:ascii="楷体_GB2312" w:eastAsia="楷体_GB2312"/>
          <w:b/>
          <w:sz w:val="32"/>
          <w:szCs w:val="32"/>
          <w:lang w:eastAsia="zh-CN"/>
        </w:rPr>
        <w:t>一</w:t>
      </w:r>
      <w:r>
        <w:rPr>
          <w:rFonts w:hint="eastAsia" w:ascii="楷体_GB2312" w:eastAsia="楷体_GB2312"/>
          <w:b/>
          <w:sz w:val="32"/>
          <w:szCs w:val="32"/>
        </w:rPr>
        <w:t>条</w:t>
      </w:r>
      <w:r>
        <w:rPr>
          <w:rFonts w:hint="eastAsia" w:ascii="仿宋_GB2312" w:eastAsia="仿宋_GB2312"/>
          <w:sz w:val="32"/>
          <w:szCs w:val="32"/>
        </w:rPr>
        <w:t xml:space="preserve">  资产交易应遵守的原则：</w:t>
      </w:r>
    </w:p>
    <w:p w14:paraId="717237C7">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rPr>
      </w:pPr>
      <w:r>
        <w:rPr>
          <w:rFonts w:hint="eastAsia" w:ascii="仿宋_GB2312" w:eastAsia="仿宋_GB2312"/>
          <w:sz w:val="32"/>
          <w:szCs w:val="32"/>
        </w:rPr>
        <w:t>（一）严格依法依规。交易标的权属清晰，不存在法律法规禁止或限制交易的情形，交易过程严格程序，符合国家相关法律法规和政策规定，加强监管，防止国有资产流失。</w:t>
      </w:r>
    </w:p>
    <w:p w14:paraId="2D9C3EC8">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rPr>
      </w:pPr>
      <w:r>
        <w:rPr>
          <w:rFonts w:hint="eastAsia" w:ascii="仿宋_GB2312" w:eastAsia="仿宋_GB2312"/>
          <w:sz w:val="32"/>
          <w:szCs w:val="32"/>
        </w:rPr>
        <w:t>（二）公平公正公开。发挥市场交易主体作用，遵循有偿等价和公平、公正、公开原则，严格实行“进场交易”。</w:t>
      </w:r>
    </w:p>
    <w:p w14:paraId="3E10F7E8">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rPr>
      </w:pPr>
      <w:r>
        <w:rPr>
          <w:rFonts w:hint="eastAsia" w:ascii="仿宋_GB2312" w:eastAsia="仿宋_GB2312"/>
          <w:sz w:val="32"/>
          <w:szCs w:val="32"/>
        </w:rPr>
        <w:t>（三）尊重市场规律。遵循市场经济规律和企业发展规律，提高国有资本运营效益，促进企业国有资本布局调整优化和产业转型升级。</w:t>
      </w:r>
    </w:p>
    <w:p w14:paraId="5379B0A4">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第五十</w:t>
      </w:r>
      <w:r>
        <w:rPr>
          <w:rFonts w:hint="eastAsia" w:ascii="楷体_GB2312" w:eastAsia="楷体_GB2312"/>
          <w:b/>
          <w:sz w:val="32"/>
          <w:szCs w:val="32"/>
          <w:lang w:eastAsia="zh-CN"/>
        </w:rPr>
        <w:t>二</w:t>
      </w:r>
      <w:r>
        <w:rPr>
          <w:rFonts w:hint="eastAsia" w:ascii="楷体_GB2312" w:eastAsia="楷体_GB2312"/>
          <w:b/>
          <w:sz w:val="32"/>
          <w:szCs w:val="32"/>
        </w:rPr>
        <w:t>条</w:t>
      </w:r>
      <w:r>
        <w:rPr>
          <w:rFonts w:hint="eastAsia" w:ascii="仿宋_GB2312" w:eastAsia="仿宋_GB2312"/>
          <w:sz w:val="32"/>
          <w:szCs w:val="32"/>
        </w:rPr>
        <w:t xml:space="preserve">  企业国有资产交易</w:t>
      </w:r>
      <w:r>
        <w:rPr>
          <w:rFonts w:hint="eastAsia" w:ascii="仿宋_GB2312" w:eastAsia="仿宋_GB2312"/>
          <w:sz w:val="32"/>
          <w:szCs w:val="32"/>
          <w:lang w:eastAsia="zh-CN"/>
        </w:rPr>
        <w:t>须经</w:t>
      </w:r>
      <w:r>
        <w:rPr>
          <w:rFonts w:hint="eastAsia" w:ascii="仿宋_GB2312" w:eastAsia="仿宋_GB2312"/>
          <w:sz w:val="32"/>
          <w:szCs w:val="32"/>
        </w:rPr>
        <w:t>市财政局审核，市人民政府批准后实行集中处置</w:t>
      </w:r>
      <w:r>
        <w:rPr>
          <w:rFonts w:hint="eastAsia" w:ascii="仿宋_GB2312" w:eastAsia="仿宋_GB2312"/>
          <w:sz w:val="32"/>
          <w:szCs w:val="32"/>
          <w:lang w:eastAsia="zh-CN"/>
        </w:rPr>
        <w:t>。</w:t>
      </w:r>
    </w:p>
    <w:p w14:paraId="70B4C54A">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第五十</w:t>
      </w:r>
      <w:r>
        <w:rPr>
          <w:rFonts w:hint="eastAsia" w:ascii="楷体_GB2312" w:eastAsia="楷体_GB2312"/>
          <w:b/>
          <w:sz w:val="32"/>
          <w:szCs w:val="32"/>
          <w:lang w:eastAsia="zh-CN"/>
        </w:rPr>
        <w:t>三</w:t>
      </w:r>
      <w:r>
        <w:rPr>
          <w:rFonts w:hint="eastAsia" w:ascii="楷体_GB2312" w:eastAsia="楷体_GB2312"/>
          <w:b/>
          <w:sz w:val="32"/>
          <w:szCs w:val="32"/>
        </w:rPr>
        <w:t>条</w:t>
      </w:r>
      <w:r>
        <w:rPr>
          <w:rFonts w:hint="eastAsia" w:ascii="仿宋_GB2312" w:eastAsia="仿宋_GB2312"/>
          <w:sz w:val="32"/>
          <w:szCs w:val="32"/>
        </w:rPr>
        <w:t xml:space="preserve">  企业对外捐赠根据集体研究意见，报市人民政府批准，送市财政局备案</w:t>
      </w:r>
      <w:r>
        <w:rPr>
          <w:rFonts w:hint="eastAsia" w:ascii="仿宋_GB2312" w:eastAsia="仿宋_GB2312"/>
          <w:sz w:val="32"/>
          <w:szCs w:val="32"/>
          <w:lang w:eastAsia="zh-CN"/>
        </w:rPr>
        <w:t>。</w:t>
      </w:r>
      <w:r>
        <w:rPr>
          <w:rFonts w:hint="eastAsia" w:ascii="仿宋_GB2312" w:eastAsia="仿宋_GB2312"/>
          <w:sz w:val="32"/>
          <w:szCs w:val="32"/>
        </w:rPr>
        <w:t>亏损企业原则上不得对外捐赠，更不得将企业拥有的资产以个人名义对外捐赠。</w:t>
      </w:r>
    </w:p>
    <w:p w14:paraId="6236F5DF">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第五十</w:t>
      </w:r>
      <w:r>
        <w:rPr>
          <w:rFonts w:hint="eastAsia" w:ascii="楷体_GB2312" w:eastAsia="楷体_GB2312"/>
          <w:b/>
          <w:sz w:val="32"/>
          <w:szCs w:val="32"/>
          <w:lang w:eastAsia="zh-CN"/>
        </w:rPr>
        <w:t>四</w:t>
      </w:r>
      <w:r>
        <w:rPr>
          <w:rFonts w:hint="eastAsia" w:ascii="楷体_GB2312" w:eastAsia="楷体_GB2312"/>
          <w:b/>
          <w:sz w:val="32"/>
          <w:szCs w:val="32"/>
        </w:rPr>
        <w:t>条</w:t>
      </w:r>
      <w:r>
        <w:rPr>
          <w:rFonts w:hint="eastAsia" w:ascii="仿宋_GB2312" w:eastAsia="仿宋_GB2312"/>
          <w:sz w:val="32"/>
          <w:szCs w:val="32"/>
        </w:rPr>
        <w:t xml:space="preserve">  企业资产损失核销，应按财政部《企业资产损失财务处理暂行办法》执行，坏</w:t>
      </w:r>
      <w:r>
        <w:rPr>
          <w:rFonts w:hint="eastAsia" w:ascii="仿宋_GB2312" w:eastAsia="仿宋_GB2312"/>
          <w:sz w:val="32"/>
          <w:szCs w:val="32"/>
          <w:lang w:eastAsia="zh-CN"/>
        </w:rPr>
        <w:t>账</w:t>
      </w:r>
      <w:r>
        <w:rPr>
          <w:rFonts w:hint="eastAsia" w:ascii="仿宋_GB2312" w:eastAsia="仿宋_GB2312"/>
          <w:sz w:val="32"/>
          <w:szCs w:val="32"/>
        </w:rPr>
        <w:t>损失、投资损失、存货和固定资产盘亏、报损（报废）等事项经集体研究后，根据市审计局或具有相应资质的会计师事务所出具的核查结果，报市财政局审核批准后，予以核销资产。</w:t>
      </w:r>
    </w:p>
    <w:p w14:paraId="307C78B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eastAsia="黑体"/>
          <w:sz w:val="32"/>
          <w:szCs w:val="32"/>
        </w:rPr>
      </w:pPr>
      <w:r>
        <w:rPr>
          <w:rFonts w:hint="eastAsia" w:ascii="黑体" w:eastAsia="黑体"/>
          <w:sz w:val="32"/>
          <w:szCs w:val="32"/>
        </w:rPr>
        <w:t>第</w:t>
      </w:r>
      <w:r>
        <w:rPr>
          <w:rFonts w:hint="eastAsia" w:ascii="黑体" w:eastAsia="黑体"/>
          <w:sz w:val="32"/>
          <w:szCs w:val="32"/>
          <w:lang w:eastAsia="zh-CN"/>
        </w:rPr>
        <w:t>八</w:t>
      </w:r>
      <w:r>
        <w:rPr>
          <w:rFonts w:hint="eastAsia" w:ascii="黑体" w:eastAsia="黑体"/>
          <w:sz w:val="32"/>
          <w:szCs w:val="32"/>
        </w:rPr>
        <w:t>章  附  则</w:t>
      </w:r>
    </w:p>
    <w:p w14:paraId="62D4E96C">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第五十</w:t>
      </w:r>
      <w:r>
        <w:rPr>
          <w:rFonts w:hint="eastAsia" w:ascii="楷体_GB2312" w:eastAsia="楷体_GB2312"/>
          <w:b/>
          <w:sz w:val="32"/>
          <w:szCs w:val="32"/>
          <w:lang w:eastAsia="zh-CN"/>
        </w:rPr>
        <w:t>五</w:t>
      </w:r>
      <w:r>
        <w:rPr>
          <w:rFonts w:hint="eastAsia" w:ascii="楷体_GB2312" w:eastAsia="楷体_GB2312"/>
          <w:b/>
          <w:sz w:val="32"/>
          <w:szCs w:val="32"/>
        </w:rPr>
        <w:t>条</w:t>
      </w:r>
      <w:r>
        <w:rPr>
          <w:rFonts w:hint="eastAsia" w:ascii="仿宋_GB2312" w:eastAsia="仿宋_GB2312"/>
          <w:sz w:val="32"/>
          <w:szCs w:val="32"/>
        </w:rPr>
        <w:t xml:space="preserve">  企业工作人员、参与企业监管的工作人员及国有资本参股公司被政府授权或委派的工作人员在国有资产经营、管理、监督的过程中，给国有资产造成损失的</w:t>
      </w:r>
      <w:r>
        <w:rPr>
          <w:rFonts w:hint="eastAsia" w:ascii="仿宋_GB2312" w:eastAsia="仿宋_GB2312"/>
          <w:sz w:val="32"/>
          <w:szCs w:val="32"/>
          <w:lang w:eastAsia="zh-CN"/>
        </w:rPr>
        <w:t>，</w:t>
      </w:r>
      <w:r>
        <w:rPr>
          <w:rFonts w:hint="eastAsia" w:ascii="仿宋_GB2312" w:eastAsia="仿宋_GB2312"/>
          <w:sz w:val="32"/>
          <w:szCs w:val="32"/>
        </w:rPr>
        <w:t>一律按</w:t>
      </w:r>
      <w:r>
        <w:rPr>
          <w:rFonts w:hint="eastAsia" w:ascii="仿宋_GB2312" w:eastAsia="仿宋_GB2312"/>
          <w:sz w:val="32"/>
          <w:szCs w:val="32"/>
          <w:lang w:eastAsia="zh-CN"/>
        </w:rPr>
        <w:t>相关</w:t>
      </w:r>
      <w:r>
        <w:rPr>
          <w:rFonts w:hint="eastAsia" w:ascii="仿宋_GB2312" w:eastAsia="仿宋_GB2312"/>
          <w:sz w:val="32"/>
          <w:szCs w:val="32"/>
        </w:rPr>
        <w:t>规定实行责任追究，涉嫌犯罪的，依法移送司法机关处理。</w:t>
      </w:r>
    </w:p>
    <w:p w14:paraId="40C195F6">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第五十</w:t>
      </w:r>
      <w:r>
        <w:rPr>
          <w:rFonts w:hint="eastAsia" w:ascii="楷体_GB2312" w:eastAsia="楷体_GB2312"/>
          <w:b/>
          <w:sz w:val="32"/>
          <w:szCs w:val="32"/>
          <w:lang w:eastAsia="zh-CN"/>
        </w:rPr>
        <w:t>六</w:t>
      </w:r>
      <w:r>
        <w:rPr>
          <w:rFonts w:hint="eastAsia" w:ascii="楷体_GB2312" w:eastAsia="楷体_GB2312"/>
          <w:b/>
          <w:sz w:val="32"/>
          <w:szCs w:val="32"/>
        </w:rPr>
        <w:t>条</w:t>
      </w:r>
      <w:r>
        <w:rPr>
          <w:rFonts w:hint="eastAsia" w:ascii="仿宋_GB2312" w:eastAsia="仿宋_GB2312"/>
          <w:sz w:val="32"/>
          <w:szCs w:val="32"/>
        </w:rPr>
        <w:t xml:space="preserve">  本办法发布前有关规定与本办法不一致的，以本办法为准。</w:t>
      </w:r>
    </w:p>
    <w:p w14:paraId="1B9CEE22">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楷体_GB2312" w:eastAsia="楷体_GB2312"/>
          <w:b/>
          <w:sz w:val="32"/>
          <w:szCs w:val="32"/>
        </w:rPr>
      </w:pPr>
      <w:r>
        <w:rPr>
          <w:rFonts w:hint="eastAsia" w:ascii="楷体_GB2312" w:eastAsia="楷体_GB2312"/>
          <w:b/>
          <w:sz w:val="32"/>
          <w:szCs w:val="32"/>
        </w:rPr>
        <w:t>第五十</w:t>
      </w:r>
      <w:r>
        <w:rPr>
          <w:rFonts w:hint="eastAsia" w:ascii="楷体_GB2312" w:eastAsia="楷体_GB2312"/>
          <w:b/>
          <w:sz w:val="32"/>
          <w:szCs w:val="32"/>
          <w:lang w:eastAsia="zh-CN"/>
        </w:rPr>
        <w:t>七</w:t>
      </w:r>
      <w:r>
        <w:rPr>
          <w:rFonts w:hint="eastAsia" w:ascii="楷体_GB2312" w:eastAsia="楷体_GB2312"/>
          <w:b/>
          <w:sz w:val="32"/>
          <w:szCs w:val="32"/>
        </w:rPr>
        <w:t xml:space="preserve">条 </w:t>
      </w:r>
      <w:r>
        <w:rPr>
          <w:rFonts w:hint="eastAsia" w:ascii="仿宋_GB2312" w:eastAsia="仿宋_GB2312"/>
          <w:sz w:val="32"/>
          <w:szCs w:val="32"/>
        </w:rPr>
        <w:t xml:space="preserve"> 市属集体企业资产管理参照本办法执行。</w:t>
      </w:r>
    </w:p>
    <w:p w14:paraId="55CE282A">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_GB2312" w:eastAsia="仿宋_GB2312"/>
          <w:sz w:val="32"/>
          <w:szCs w:val="32"/>
        </w:rPr>
      </w:pPr>
      <w:r>
        <w:rPr>
          <w:rFonts w:hint="eastAsia" w:ascii="楷体_GB2312" w:eastAsia="楷体_GB2312"/>
          <w:b/>
          <w:sz w:val="32"/>
          <w:szCs w:val="32"/>
        </w:rPr>
        <w:t>第五十</w:t>
      </w:r>
      <w:r>
        <w:rPr>
          <w:rFonts w:hint="eastAsia" w:ascii="楷体_GB2312" w:eastAsia="楷体_GB2312"/>
          <w:b/>
          <w:sz w:val="32"/>
          <w:szCs w:val="32"/>
          <w:lang w:eastAsia="zh-CN"/>
        </w:rPr>
        <w:t>八</w:t>
      </w:r>
      <w:r>
        <w:rPr>
          <w:rFonts w:hint="eastAsia" w:ascii="楷体_GB2312" w:eastAsia="楷体_GB2312"/>
          <w:b/>
          <w:sz w:val="32"/>
          <w:szCs w:val="32"/>
        </w:rPr>
        <w:t>条</w:t>
      </w:r>
      <w:r>
        <w:rPr>
          <w:rFonts w:hint="eastAsia" w:ascii="仿宋_GB2312" w:eastAsia="仿宋_GB2312"/>
          <w:sz w:val="32"/>
          <w:szCs w:val="32"/>
        </w:rPr>
        <w:t xml:space="preserve">  本办法自</w:t>
      </w:r>
      <w:r>
        <w:rPr>
          <w:rFonts w:hint="eastAsia" w:ascii="仿宋_GB2312" w:eastAsia="仿宋_GB2312"/>
          <w:sz w:val="32"/>
          <w:szCs w:val="32"/>
          <w:lang w:eastAsia="zh-CN"/>
        </w:rPr>
        <w:t>发布之</w:t>
      </w:r>
      <w:r>
        <w:rPr>
          <w:rFonts w:hint="eastAsia" w:ascii="仿宋_GB2312" w:eastAsia="仿宋_GB2312"/>
          <w:sz w:val="32"/>
          <w:szCs w:val="32"/>
        </w:rPr>
        <w:t>日起实施，有效期5年。</w:t>
      </w:r>
    </w:p>
    <w:p w14:paraId="3399250A">
      <w:pPr>
        <w:rPr>
          <w:rFonts w:hint="eastAsia" w:ascii="仿宋_GB2312" w:eastAsia="仿宋_GB2312"/>
          <w:sz w:val="32"/>
          <w:szCs w:val="32"/>
        </w:rPr>
      </w:pPr>
      <w:r>
        <w:rPr>
          <w:rFonts w:hint="eastAsia" w:ascii="仿宋_GB2312" w:eastAsia="仿宋_GB2312"/>
          <w:sz w:val="32"/>
          <w:szCs w:val="32"/>
        </w:rPr>
        <w:br w:type="page"/>
      </w:r>
    </w:p>
    <w:p w14:paraId="575AADD5">
      <w:pPr>
        <w:pStyle w:val="3"/>
        <w:rPr>
          <w:rFonts w:hint="default"/>
          <w:lang w:val="en-US" w:eastAsia="zh-CN"/>
        </w:rPr>
      </w:pPr>
    </w:p>
    <w:p w14:paraId="09CBE81E">
      <w:pPr>
        <w:rPr>
          <w:rFonts w:hint="default"/>
          <w:lang w:val="en-US" w:eastAsia="zh-CN"/>
        </w:rPr>
      </w:pPr>
    </w:p>
    <w:p w14:paraId="757DE898">
      <w:pPr>
        <w:pStyle w:val="2"/>
        <w:rPr>
          <w:rFonts w:hint="default"/>
          <w:lang w:val="en-US" w:eastAsia="zh-CN"/>
        </w:rPr>
      </w:pPr>
    </w:p>
    <w:p w14:paraId="30AB398C">
      <w:pPr>
        <w:pStyle w:val="3"/>
        <w:rPr>
          <w:rFonts w:hint="default"/>
          <w:lang w:val="en-US" w:eastAsia="zh-CN"/>
        </w:rPr>
      </w:pPr>
    </w:p>
    <w:p w14:paraId="6B255F20">
      <w:pPr>
        <w:rPr>
          <w:rFonts w:hint="default"/>
          <w:lang w:val="en-US" w:eastAsia="zh-CN"/>
        </w:rPr>
      </w:pPr>
    </w:p>
    <w:p w14:paraId="55C45AD4">
      <w:pPr>
        <w:pStyle w:val="2"/>
        <w:rPr>
          <w:rFonts w:hint="default"/>
          <w:lang w:val="en-US" w:eastAsia="zh-CN"/>
        </w:rPr>
      </w:pPr>
    </w:p>
    <w:p w14:paraId="78A48A28">
      <w:pPr>
        <w:pStyle w:val="3"/>
        <w:rPr>
          <w:rFonts w:hint="default"/>
          <w:lang w:val="en-US" w:eastAsia="zh-CN"/>
        </w:rPr>
      </w:pPr>
    </w:p>
    <w:p w14:paraId="678F6929">
      <w:pPr>
        <w:rPr>
          <w:rFonts w:hint="default"/>
          <w:lang w:val="en-US" w:eastAsia="zh-CN"/>
        </w:rPr>
      </w:pPr>
    </w:p>
    <w:p w14:paraId="16D99A2A">
      <w:pPr>
        <w:pStyle w:val="2"/>
        <w:rPr>
          <w:rFonts w:hint="default"/>
          <w:lang w:val="en-US" w:eastAsia="zh-CN"/>
        </w:rPr>
      </w:pPr>
    </w:p>
    <w:p w14:paraId="5DDE3915">
      <w:pPr>
        <w:pStyle w:val="3"/>
        <w:rPr>
          <w:rFonts w:hint="default"/>
          <w:lang w:val="en-US" w:eastAsia="zh-CN"/>
        </w:rPr>
      </w:pPr>
    </w:p>
    <w:p w14:paraId="65E7D2A3">
      <w:pPr>
        <w:rPr>
          <w:rFonts w:hint="default"/>
          <w:lang w:val="en-US" w:eastAsia="zh-CN"/>
        </w:rPr>
      </w:pPr>
    </w:p>
    <w:p w14:paraId="739A3E9B">
      <w:pPr>
        <w:pStyle w:val="2"/>
        <w:rPr>
          <w:rFonts w:hint="default"/>
          <w:lang w:val="en-US" w:eastAsia="zh-CN"/>
        </w:rPr>
      </w:pPr>
    </w:p>
    <w:p w14:paraId="308F0D72">
      <w:pPr>
        <w:pStyle w:val="3"/>
        <w:rPr>
          <w:rFonts w:hint="default"/>
          <w:lang w:val="en-US" w:eastAsia="zh-CN"/>
        </w:rPr>
      </w:pPr>
    </w:p>
    <w:p w14:paraId="223DC619">
      <w:pPr>
        <w:rPr>
          <w:rFonts w:hint="default"/>
          <w:lang w:val="en-US" w:eastAsia="zh-CN"/>
        </w:rPr>
      </w:pPr>
    </w:p>
    <w:p w14:paraId="74F60147">
      <w:pPr>
        <w:pStyle w:val="2"/>
        <w:rPr>
          <w:rFonts w:hint="default"/>
          <w:lang w:val="en-US" w:eastAsia="zh-CN"/>
        </w:rPr>
      </w:pPr>
    </w:p>
    <w:p w14:paraId="619A8830">
      <w:pPr>
        <w:pStyle w:val="3"/>
        <w:rPr>
          <w:rFonts w:hint="default"/>
          <w:lang w:val="en-US" w:eastAsia="zh-CN"/>
        </w:rPr>
      </w:pPr>
    </w:p>
    <w:p w14:paraId="6C16E531">
      <w:pPr>
        <w:rPr>
          <w:rFonts w:hint="default"/>
          <w:lang w:val="en-US" w:eastAsia="zh-CN"/>
        </w:rPr>
      </w:pPr>
    </w:p>
    <w:p w14:paraId="21927FCC">
      <w:pPr>
        <w:pStyle w:val="2"/>
        <w:rPr>
          <w:rFonts w:hint="default"/>
          <w:lang w:val="en-US" w:eastAsia="zh-CN"/>
        </w:rPr>
      </w:pPr>
    </w:p>
    <w:p w14:paraId="00CD0E4D">
      <w:pPr>
        <w:pStyle w:val="3"/>
        <w:rPr>
          <w:rFonts w:hint="default"/>
          <w:lang w:val="en-US" w:eastAsia="zh-CN"/>
        </w:rPr>
      </w:pPr>
    </w:p>
    <w:p w14:paraId="1B265758">
      <w:pPr>
        <w:rPr>
          <w:rFonts w:hint="default"/>
          <w:lang w:val="en-US" w:eastAsia="zh-CN"/>
        </w:rPr>
      </w:pPr>
    </w:p>
    <w:p w14:paraId="445DF081">
      <w:pPr>
        <w:pStyle w:val="2"/>
        <w:rPr>
          <w:rFonts w:hint="default"/>
          <w:lang w:val="en-US" w:eastAsia="zh-CN"/>
        </w:rPr>
      </w:pPr>
    </w:p>
    <w:p w14:paraId="334F7FDD">
      <w:pPr>
        <w:rPr>
          <w:rFonts w:hint="default"/>
          <w:lang w:val="en-US" w:eastAsia="zh-CN"/>
        </w:rPr>
      </w:pPr>
    </w:p>
    <w:p w14:paraId="167C7DE1">
      <w:pPr>
        <w:pStyle w:val="2"/>
        <w:rPr>
          <w:rFonts w:hint="default"/>
          <w:lang w:val="en-US" w:eastAsia="zh-CN"/>
        </w:rPr>
      </w:pPr>
    </w:p>
    <w:p w14:paraId="430ED504">
      <w:pPr>
        <w:pStyle w:val="3"/>
        <w:rPr>
          <w:rFonts w:hint="default"/>
          <w:lang w:val="en-US" w:eastAsia="zh-CN"/>
        </w:rPr>
      </w:pPr>
    </w:p>
    <w:p w14:paraId="3EF62EFF">
      <w:pPr>
        <w:rPr>
          <w:rFonts w:hint="default"/>
          <w:lang w:val="en-US" w:eastAsia="zh-CN"/>
        </w:rPr>
      </w:pPr>
    </w:p>
    <w:p w14:paraId="71C1203C">
      <w:pPr>
        <w:pStyle w:val="2"/>
        <w:rPr>
          <w:rFonts w:hint="default"/>
          <w:lang w:val="en-US" w:eastAsia="zh-CN"/>
        </w:rPr>
      </w:pPr>
    </w:p>
    <w:p w14:paraId="2D0F3465">
      <w:pPr>
        <w:pStyle w:val="3"/>
        <w:rPr>
          <w:rFonts w:hint="default"/>
          <w:lang w:val="en-US" w:eastAsia="zh-CN"/>
        </w:rPr>
      </w:pPr>
    </w:p>
    <w:p w14:paraId="4FDBA9EB">
      <w:pPr>
        <w:rPr>
          <w:rFonts w:hint="default"/>
          <w:lang w:val="en-US" w:eastAsia="zh-CN"/>
        </w:rPr>
      </w:pPr>
    </w:p>
    <w:p w14:paraId="31F73159">
      <w:pPr>
        <w:pStyle w:val="2"/>
        <w:rPr>
          <w:rFonts w:hint="default"/>
          <w:lang w:val="en-US" w:eastAsia="zh-CN"/>
        </w:rPr>
      </w:pPr>
    </w:p>
    <w:p w14:paraId="69E172CA">
      <w:pPr>
        <w:pStyle w:val="3"/>
        <w:rPr>
          <w:rFonts w:hint="default"/>
          <w:lang w:val="en-US" w:eastAsia="zh-CN"/>
        </w:rPr>
      </w:pPr>
    </w:p>
    <w:p w14:paraId="2435888F">
      <w:pPr>
        <w:rPr>
          <w:rFonts w:hint="default"/>
          <w:lang w:val="en-US" w:eastAsia="zh-CN"/>
        </w:rPr>
      </w:pPr>
    </w:p>
    <w:p w14:paraId="1EB8F37E">
      <w:pPr>
        <w:pStyle w:val="2"/>
        <w:rPr>
          <w:rFonts w:hint="default"/>
          <w:lang w:val="en-US" w:eastAsia="zh-CN"/>
        </w:rPr>
      </w:pPr>
    </w:p>
    <w:p w14:paraId="00A12ED4">
      <w:pPr>
        <w:pStyle w:val="3"/>
        <w:rPr>
          <w:rFonts w:hint="default"/>
          <w:lang w:val="en-US" w:eastAsia="zh-CN"/>
        </w:rPr>
      </w:pPr>
    </w:p>
    <w:p w14:paraId="3ED92BBD">
      <w:pPr>
        <w:rPr>
          <w:rFonts w:hint="default"/>
          <w:lang w:val="en-US" w:eastAsia="zh-CN"/>
        </w:rPr>
      </w:pPr>
    </w:p>
    <w:tbl>
      <w:tblPr>
        <w:tblStyle w:val="8"/>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4"/>
      </w:tblGrid>
      <w:tr w14:paraId="6D0AC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9004" w:type="dxa"/>
            <w:tcBorders>
              <w:top w:val="single" w:color="auto" w:sz="4" w:space="0"/>
              <w:left w:val="nil"/>
              <w:bottom w:val="single" w:color="auto" w:sz="4" w:space="0"/>
              <w:right w:val="nil"/>
            </w:tcBorders>
            <w:noWrap w:val="0"/>
            <w:vAlign w:val="center"/>
          </w:tcPr>
          <w:p w14:paraId="42B2F731">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280" w:firstLineChars="100"/>
              <w:jc w:val="both"/>
              <w:textAlignment w:val="auto"/>
              <w:rPr>
                <w:rFonts w:hint="eastAsia" w:ascii="仿宋_GB2312" w:hAnsi="仿宋" w:eastAsia="仿宋_GB2312" w:cs="仿宋_GB2312"/>
                <w:color w:val="000000"/>
                <w:sz w:val="28"/>
                <w:szCs w:val="28"/>
                <w:u w:val="none"/>
                <w:lang w:val="en-US"/>
              </w:rPr>
            </w:pPr>
            <w:r>
              <w:rPr>
                <w:rFonts w:hint="eastAsia" w:ascii="仿宋_GB2312" w:hAnsi="仿宋" w:eastAsia="仿宋_GB2312" w:cs="仿宋_GB2312"/>
                <w:color w:val="000000"/>
                <w:kern w:val="2"/>
                <w:sz w:val="28"/>
                <w:szCs w:val="28"/>
                <w:u w:val="none"/>
                <w:lang w:val="en-US" w:eastAsia="zh-CN" w:bidi="ar"/>
              </w:rPr>
              <w:t>抄送：市委各部门，市人武部。</w:t>
            </w:r>
          </w:p>
          <w:p w14:paraId="275FA9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1120" w:firstLineChars="400"/>
              <w:jc w:val="both"/>
              <w:textAlignment w:val="auto"/>
              <w:rPr>
                <w:rFonts w:hint="eastAsia" w:ascii="仿宋_GB2312" w:hAnsi="仿宋" w:eastAsia="仿宋_GB2312" w:cs="仿宋_GB2312"/>
                <w:color w:val="000000"/>
                <w:sz w:val="28"/>
                <w:szCs w:val="28"/>
                <w:u w:val="none"/>
                <w:lang w:val="en-US"/>
              </w:rPr>
            </w:pPr>
            <w:r>
              <w:rPr>
                <w:rFonts w:hint="eastAsia" w:ascii="仿宋_GB2312" w:hAnsi="仿宋" w:eastAsia="仿宋_GB2312" w:cs="仿宋_GB2312"/>
                <w:color w:val="000000"/>
                <w:kern w:val="2"/>
                <w:sz w:val="28"/>
                <w:szCs w:val="28"/>
                <w:u w:val="none"/>
                <w:lang w:val="en-US" w:eastAsia="zh-CN" w:bidi="ar"/>
              </w:rPr>
              <w:t>市人大常委会办公室，市政协办公室，市人民法院，</w:t>
            </w:r>
          </w:p>
          <w:p w14:paraId="476CBA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1120" w:firstLineChars="400"/>
              <w:jc w:val="both"/>
              <w:textAlignment w:val="auto"/>
              <w:rPr>
                <w:rFonts w:hint="eastAsia" w:ascii="仿宋_GB2312" w:hAnsi="仿宋" w:eastAsia="仿宋_GB2312" w:cs="仿宋_GB2312"/>
                <w:color w:val="000000"/>
                <w:sz w:val="28"/>
                <w:szCs w:val="28"/>
                <w:u w:val="none"/>
                <w:lang w:val="en-US"/>
              </w:rPr>
            </w:pPr>
            <w:r>
              <w:rPr>
                <w:rFonts w:hint="eastAsia" w:ascii="仿宋_GB2312" w:hAnsi="仿宋" w:eastAsia="仿宋_GB2312" w:cs="仿宋_GB2312"/>
                <w:color w:val="000000"/>
                <w:kern w:val="2"/>
                <w:sz w:val="28"/>
                <w:szCs w:val="28"/>
                <w:u w:val="none"/>
                <w:lang w:val="en-US" w:eastAsia="zh-CN" w:bidi="ar"/>
              </w:rPr>
              <w:t>市人民检察院。</w:t>
            </w:r>
          </w:p>
        </w:tc>
      </w:tr>
      <w:tr w14:paraId="5F7F9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004" w:type="dxa"/>
            <w:tcBorders>
              <w:top w:val="single" w:color="auto" w:sz="4" w:space="0"/>
              <w:left w:val="nil"/>
              <w:bottom w:val="single" w:color="auto" w:sz="4" w:space="0"/>
              <w:right w:val="nil"/>
            </w:tcBorders>
            <w:noWrap w:val="0"/>
            <w:vAlign w:val="center"/>
          </w:tcPr>
          <w:p w14:paraId="589E15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firstLine="313" w:firstLineChars="112"/>
              <w:jc w:val="both"/>
              <w:textAlignment w:val="auto"/>
              <w:rPr>
                <w:rFonts w:hint="eastAsia" w:ascii="仿宋_GB2312" w:hAnsi="仿宋" w:eastAsia="仿宋_GB2312" w:cs="仿宋_GB2312"/>
                <w:color w:val="000000"/>
                <w:sz w:val="28"/>
                <w:szCs w:val="28"/>
                <w:u w:val="none"/>
                <w:lang w:val="en-US"/>
              </w:rPr>
            </w:pPr>
            <w:r>
              <w:rPr>
                <w:rFonts w:hint="eastAsia" w:ascii="仿宋_GB2312" w:hAnsi="仿宋" w:eastAsia="仿宋_GB2312" w:cs="仿宋_GB2312"/>
                <w:color w:val="000000"/>
                <w:kern w:val="2"/>
                <w:sz w:val="28"/>
                <w:szCs w:val="28"/>
                <w:u w:val="none"/>
                <w:lang w:val="en-US" w:eastAsia="zh-CN" w:bidi="ar"/>
              </w:rPr>
              <w:t>邵东市人民政府办公室                   2025年1月25日印发</w:t>
            </w:r>
          </w:p>
        </w:tc>
      </w:tr>
    </w:tbl>
    <w:p w14:paraId="620961F5">
      <w:pPr>
        <w:pStyle w:val="2"/>
        <w:keepNext w:val="0"/>
        <w:keepLines w:val="0"/>
        <w:pageBreakBefore w:val="0"/>
        <w:widowControl w:val="0"/>
        <w:kinsoku/>
        <w:wordWrap/>
        <w:overflowPunct/>
        <w:topLinePunct w:val="0"/>
        <w:autoSpaceDE/>
        <w:autoSpaceDN/>
        <w:bidi w:val="0"/>
        <w:adjustRightInd/>
        <w:snapToGrid/>
        <w:spacing w:line="20" w:lineRule="exact"/>
        <w:ind w:left="136"/>
        <w:textAlignment w:val="auto"/>
        <w:rPr>
          <w:rFonts w:hint="default"/>
          <w:lang w:val="en-US" w:eastAsia="zh-CN"/>
        </w:rPr>
      </w:pPr>
    </w:p>
    <w:p w14:paraId="64B274A5">
      <w:pPr>
        <w:pStyle w:val="2"/>
        <w:keepNext w:val="0"/>
        <w:keepLines w:val="0"/>
        <w:pageBreakBefore w:val="0"/>
        <w:widowControl w:val="0"/>
        <w:kinsoku/>
        <w:wordWrap/>
        <w:overflowPunct/>
        <w:topLinePunct w:val="0"/>
        <w:autoSpaceDE/>
        <w:autoSpaceDN/>
        <w:bidi w:val="0"/>
        <w:adjustRightInd/>
        <w:snapToGrid/>
        <w:spacing w:line="20" w:lineRule="exact"/>
        <w:ind w:left="136"/>
        <w:textAlignment w:val="auto"/>
        <w:rPr>
          <w:rFonts w:hint="eastAsia"/>
        </w:rPr>
      </w:pPr>
    </w:p>
    <w:sectPr>
      <w:footerReference r:id="rId3" w:type="default"/>
      <w:pgSz w:w="11906" w:h="16838"/>
      <w:pgMar w:top="2211" w:right="1474" w:bottom="1928" w:left="164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大标宋简体">
    <w:altName w:val="Arial Unicode MS"/>
    <w:panose1 w:val="03000509000000000000"/>
    <w:charset w:val="86"/>
    <w:family w:val="script"/>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495D5">
    <w:pPr>
      <w:pStyle w:val="4"/>
      <w:rPr>
        <w:rFonts w:hint="eastAsia"/>
      </w:rPr>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A03FAC7">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1"/>
  <w:displayVerticalDrawingGridEvery w:val="1"/>
  <w:characterSpacingControl w:val="compressPunctuation"/>
  <w:hdrShapeDefaults>
    <o:shapelayout v:ext="edit">
      <o:idmap v:ext="edit" data="2"/>
    </o:shapelayout>
  </w:hdrShapeDefaults>
  <w:compat>
    <w:balanceSingleByteDoubleByteWidth/>
    <w:doNotLeaveBackslashAlone/>
    <w:ulTrailSpace/>
    <w:doNotExpandShiftReturn/>
    <w:adjustLineHeightInTable/>
    <w:useFELayout/>
    <w:compatSetting w:name="compatibilityMode" w:uri="http://schemas.microsoft.com/office/word" w:val="11"/>
  </w:compat>
  <w:docVars>
    <w:docVar w:name="commondata" w:val="eyJoZGlkIjoiOTc5ZWY0NThmOGU5ODQyYzY4NmI2YWZlZjk5ZWU3NzEifQ=="/>
  </w:docVars>
  <w:rsids>
    <w:rsidRoot w:val="00000000"/>
    <w:rsid w:val="0F501F02"/>
    <w:rsid w:val="11BE30C9"/>
    <w:rsid w:val="12D8425D"/>
    <w:rsid w:val="184A449D"/>
    <w:rsid w:val="1D2C645F"/>
    <w:rsid w:val="1EB1294F"/>
    <w:rsid w:val="2B3F6358"/>
    <w:rsid w:val="30647AEC"/>
    <w:rsid w:val="42977172"/>
    <w:rsid w:val="616817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139"/>
    </w:pPr>
    <w:rPr>
      <w:rFonts w:ascii="宋体" w:hAnsi="宋体" w:eastAsia="宋体"/>
      <w:sz w:val="24"/>
      <w:szCs w:val="24"/>
    </w:rPr>
  </w:style>
  <w:style w:type="paragraph" w:customStyle="1" w:styleId="3">
    <w:name w:val="目录 11"/>
    <w:next w:val="1"/>
    <w:qFormat/>
    <w:uiPriority w:val="0"/>
    <w:pPr>
      <w:wordWrap w:val="0"/>
      <w:jc w:val="both"/>
    </w:pPr>
    <w:rPr>
      <w:rFonts w:ascii="Calibri" w:hAnsi="Calibri" w:eastAsia="宋体" w:cs="Times New Roman"/>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pPr>
    <w:rPr>
      <w:rFonts w:cs="Times New Roman"/>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默认段落字体1"/>
    <w:link w:val="1"/>
    <w:semiHidden/>
    <w:qFormat/>
    <w:uiPriority w:val="0"/>
  </w:style>
  <w:style w:type="table" w:customStyle="1" w:styleId="11">
    <w:name w:val="普通表格1"/>
    <w:semiHidden/>
    <w:qFormat/>
    <w:uiPriority w:val="0"/>
  </w:style>
  <w:style w:type="paragraph" w:customStyle="1" w:styleId="12">
    <w:name w:val="页脚1"/>
    <w:basedOn w:val="1"/>
    <w:qFormat/>
    <w:uiPriority w:val="0"/>
    <w:pPr>
      <w:tabs>
        <w:tab w:val="center" w:pos="4153"/>
        <w:tab w:val="right" w:pos="8306"/>
      </w:tabs>
      <w:snapToGrid w:val="0"/>
      <w:jc w:val="left"/>
    </w:pPr>
    <w:rPr>
      <w:sz w:val="18"/>
      <w:szCs w:val="18"/>
    </w:rPr>
  </w:style>
  <w:style w:type="paragraph" w:customStyle="1" w:styleId="13">
    <w:name w:val="页眉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4">
    <w:name w:val="HTML 预设格式1"/>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lang w:val="en-US" w:eastAsia="zh-CN" w:bidi="ar"/>
    </w:rPr>
  </w:style>
  <w:style w:type="paragraph" w:customStyle="1" w:styleId="15">
    <w:name w:val="普通(网站)1"/>
    <w:basedOn w:val="1"/>
    <w:qFormat/>
    <w:uiPriority w:val="0"/>
    <w:pPr>
      <w:spacing w:before="100" w:beforeAutospacing="1" w:after="100" w:afterAutospacing="1"/>
      <w:ind w:left="0" w:right="0"/>
      <w:jc w:val="left"/>
    </w:pPr>
    <w:rPr>
      <w:kern w:val="0"/>
      <w:sz w:val="24"/>
      <w:lang w:val="en-US" w:eastAsia="zh-CN"/>
    </w:rPr>
  </w:style>
  <w:style w:type="table" w:customStyle="1" w:styleId="16">
    <w:name w:val="网格型1"/>
    <w:basedOn w:val="11"/>
    <w:qFormat/>
    <w:uiPriority w:val="0"/>
    <w:pPr>
      <w:widowControl w:val="0"/>
      <w:jc w:val="both"/>
    </w:pPr>
  </w:style>
  <w:style w:type="character" w:customStyle="1" w:styleId="17">
    <w:name w:val="页码1"/>
    <w:basedOn w:val="10"/>
    <w:link w:val="1"/>
    <w:qFormat/>
    <w:uiPriority w:val="0"/>
  </w:style>
  <w:style w:type="character" w:customStyle="1" w:styleId="18">
    <w:name w:val="超链接1"/>
    <w:basedOn w:val="10"/>
    <w:link w:val="1"/>
    <w:qFormat/>
    <w:uiPriority w:val="0"/>
    <w:rPr>
      <w:color w:val="0000FF"/>
      <w:u w:val="single"/>
    </w:rPr>
  </w:style>
  <w:style w:type="paragraph" w:customStyle="1" w:styleId="19">
    <w:name w:val="Default"/>
    <w:qFormat/>
    <w:uiPriority w:val="0"/>
    <w:pPr>
      <w:widowControl w:val="0"/>
      <w:autoSpaceDE w:val="0"/>
      <w:autoSpaceDN w:val="0"/>
      <w:adjustRightInd w:val="0"/>
    </w:pPr>
    <w:rPr>
      <w:rFonts w:ascii="黑体" w:hAnsi="Calibri" w:eastAsia="黑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6050</Words>
  <Characters>6085</Characters>
  <Lines>0</Lines>
  <Paragraphs>0</Paragraphs>
  <TotalTime>3</TotalTime>
  <ScaleCrop>false</ScaleCrop>
  <LinksUpToDate>false</LinksUpToDate>
  <CharactersWithSpaces>6295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2025-02-11T03:04:00Z</dcterms:created>
  <dc:creator>Administrator</dc:creator>
  <cp:lastModifiedBy>123</cp:lastModifiedBy>
  <cp:lastPrinted>2025-02-11T03:14:00Z</cp:lastPrinted>
  <dcterms:modified xsi:type="dcterms:W3CDTF">2025-02-24T04:48:12Z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8445481CCCBF43C7872709B501A46632</vt:lpwstr>
  </property>
  <property fmtid="{D5CDD505-2E9C-101B-9397-08002B2CF9AE}" pid="4" name="KSOTemplateDocerSaveRecord">
    <vt:lpwstr>eyJoZGlkIjoiNjQyZmU0NWFhODE5MTY3NmQ4YTE2OGJlNjgwZDFjYTQiLCJ1c2VySWQiOiI3MzgwNDgzNDgifQ==</vt:lpwstr>
  </property>
</Properties>
</file>