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目  录</w:t>
      </w:r>
    </w:p>
    <w:p>
      <w:pPr>
        <w:pStyle w:val="7"/>
        <w:tabs>
          <w:tab w:val="right" w:leader="dot" w:pos="8306"/>
        </w:tabs>
      </w:pPr>
      <w:r>
        <w:rPr>
          <w:rFonts w:eastAsia="黑体"/>
          <w:b/>
          <w:bCs/>
          <w:sz w:val="44"/>
          <w:szCs w:val="44"/>
        </w:rPr>
        <w:fldChar w:fldCharType="begin"/>
      </w:r>
      <w:r>
        <w:rPr>
          <w:rFonts w:eastAsia="黑体"/>
          <w:b/>
          <w:bCs/>
          <w:sz w:val="44"/>
          <w:szCs w:val="44"/>
        </w:rPr>
        <w:instrText xml:space="preserve">TOC \o "1-3" \h \u </w:instrText>
      </w:r>
      <w:r>
        <w:rPr>
          <w:rFonts w:eastAsia="黑体"/>
          <w:b/>
          <w:bCs/>
          <w:sz w:val="44"/>
          <w:szCs w:val="44"/>
        </w:rPr>
        <w:fldChar w:fldCharType="separate"/>
      </w:r>
    </w:p>
    <w:p>
      <w:pPr>
        <w:pStyle w:val="7"/>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"_Toc18552" </w:instrText>
      </w:r>
      <w:r>
        <w:rPr>
          <w:highlight w:val="none"/>
        </w:rPr>
        <w:fldChar w:fldCharType="separate"/>
      </w:r>
      <w:r>
        <w:rPr>
          <w:rFonts w:eastAsia="黑体"/>
          <w:sz w:val="32"/>
          <w:szCs w:val="32"/>
          <w:highlight w:val="none"/>
        </w:rPr>
        <w:t>一、部门概况</w:t>
      </w:r>
      <w:r>
        <w:rPr>
          <w:sz w:val="32"/>
          <w:szCs w:val="32"/>
          <w:highlight w:val="none"/>
        </w:rPr>
        <w:tab/>
      </w:r>
      <w:r>
        <w:rPr>
          <w:sz w:val="32"/>
          <w:szCs w:val="32"/>
          <w:highlight w:val="none"/>
        </w:rPr>
        <w:fldChar w:fldCharType="begin"/>
      </w:r>
      <w:r>
        <w:rPr>
          <w:sz w:val="32"/>
          <w:szCs w:val="32"/>
          <w:highlight w:val="none"/>
        </w:rPr>
        <w:instrText xml:space="preserve"> PAGEREF _Toc18552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"_Toc5419" </w:instrText>
      </w:r>
      <w:r>
        <w:rPr>
          <w:highlight w:val="none"/>
        </w:rPr>
        <w:fldChar w:fldCharType="separate"/>
      </w:r>
      <w:r>
        <w:rPr>
          <w:rFonts w:eastAsia="楷体"/>
          <w:bCs/>
          <w:sz w:val="32"/>
          <w:szCs w:val="32"/>
          <w:highlight w:val="none"/>
        </w:rPr>
        <w:t>（一）部门基本情况</w:t>
      </w:r>
      <w:r>
        <w:rPr>
          <w:sz w:val="32"/>
          <w:szCs w:val="32"/>
          <w:highlight w:val="none"/>
        </w:rPr>
        <w:tab/>
      </w:r>
      <w:r>
        <w:rPr>
          <w:sz w:val="32"/>
          <w:szCs w:val="32"/>
          <w:highlight w:val="none"/>
        </w:rPr>
        <w:fldChar w:fldCharType="begin"/>
      </w:r>
      <w:r>
        <w:rPr>
          <w:sz w:val="32"/>
          <w:szCs w:val="32"/>
          <w:highlight w:val="none"/>
        </w:rPr>
        <w:instrText xml:space="preserve"> PAGEREF _Toc5419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"_Toc26751" </w:instrText>
      </w:r>
      <w:r>
        <w:rPr>
          <w:highlight w:val="none"/>
        </w:rPr>
        <w:fldChar w:fldCharType="separate"/>
      </w:r>
      <w:r>
        <w:rPr>
          <w:rFonts w:eastAsia="仿宋_GB2312"/>
          <w:bCs/>
          <w:sz w:val="32"/>
          <w:szCs w:val="32"/>
          <w:highlight w:val="none"/>
        </w:rPr>
        <w:t>1、在职人员情况</w:t>
      </w:r>
      <w:r>
        <w:rPr>
          <w:sz w:val="32"/>
          <w:szCs w:val="32"/>
          <w:highlight w:val="none"/>
        </w:rPr>
        <w:tab/>
      </w:r>
      <w:r>
        <w:rPr>
          <w:sz w:val="32"/>
          <w:szCs w:val="32"/>
          <w:highlight w:val="none"/>
        </w:rPr>
        <w:fldChar w:fldCharType="begin"/>
      </w:r>
      <w:r>
        <w:rPr>
          <w:sz w:val="32"/>
          <w:szCs w:val="32"/>
          <w:highlight w:val="none"/>
        </w:rPr>
        <w:instrText xml:space="preserve"> PAGEREF _Toc26751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"_Toc6568" </w:instrText>
      </w:r>
      <w:r>
        <w:rPr>
          <w:highlight w:val="none"/>
        </w:rPr>
        <w:fldChar w:fldCharType="separate"/>
      </w:r>
      <w:r>
        <w:rPr>
          <w:rFonts w:eastAsia="仿宋_GB2312"/>
          <w:bCs/>
          <w:sz w:val="32"/>
          <w:szCs w:val="32"/>
          <w:highlight w:val="none"/>
        </w:rPr>
        <w:t>2、机构设置情况</w:t>
      </w:r>
      <w:r>
        <w:rPr>
          <w:sz w:val="32"/>
          <w:szCs w:val="32"/>
          <w:highlight w:val="none"/>
        </w:rPr>
        <w:tab/>
      </w:r>
      <w:r>
        <w:rPr>
          <w:sz w:val="32"/>
          <w:szCs w:val="32"/>
          <w:highlight w:val="none"/>
        </w:rPr>
        <w:fldChar w:fldCharType="begin"/>
      </w:r>
      <w:r>
        <w:rPr>
          <w:sz w:val="32"/>
          <w:szCs w:val="32"/>
          <w:highlight w:val="none"/>
        </w:rPr>
        <w:instrText xml:space="preserve"> PAGEREF _Toc6568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"_Toc15988" </w:instrText>
      </w:r>
      <w:r>
        <w:rPr>
          <w:highlight w:val="none"/>
        </w:rPr>
        <w:fldChar w:fldCharType="separate"/>
      </w:r>
      <w:r>
        <w:rPr>
          <w:rFonts w:eastAsia="仿宋_GB2312"/>
          <w:bCs/>
          <w:sz w:val="32"/>
          <w:szCs w:val="32"/>
          <w:highlight w:val="none"/>
        </w:rPr>
        <w:t>3、主要职能</w:t>
      </w:r>
      <w:r>
        <w:rPr>
          <w:sz w:val="32"/>
          <w:szCs w:val="32"/>
          <w:highlight w:val="none"/>
        </w:rPr>
        <w:tab/>
      </w:r>
      <w:r>
        <w:rPr>
          <w:sz w:val="32"/>
          <w:szCs w:val="32"/>
          <w:highlight w:val="none"/>
        </w:rPr>
        <w:fldChar w:fldCharType="begin"/>
      </w:r>
      <w:r>
        <w:rPr>
          <w:sz w:val="32"/>
          <w:szCs w:val="32"/>
          <w:highlight w:val="none"/>
        </w:rPr>
        <w:instrText xml:space="preserve"> PAGEREF _Toc15988 \h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"_Toc4088" </w:instrText>
      </w:r>
      <w:r>
        <w:rPr>
          <w:highlight w:val="none"/>
        </w:rPr>
        <w:fldChar w:fldCharType="separate"/>
      </w:r>
      <w:r>
        <w:rPr>
          <w:rFonts w:hint="eastAsia" w:eastAsia="楷体"/>
          <w:bCs/>
          <w:sz w:val="32"/>
          <w:szCs w:val="32"/>
          <w:highlight w:val="none"/>
        </w:rPr>
        <w:t>（二）</w:t>
      </w:r>
      <w:r>
        <w:rPr>
          <w:rFonts w:eastAsia="楷体"/>
          <w:bCs/>
          <w:sz w:val="32"/>
          <w:szCs w:val="32"/>
          <w:highlight w:val="none"/>
        </w:rPr>
        <w:t>部门整体支出规模、使用方向和主要内容、涉及范围等</w:t>
      </w:r>
      <w:r>
        <w:rPr>
          <w:sz w:val="32"/>
          <w:szCs w:val="32"/>
          <w:highlight w:val="none"/>
        </w:rPr>
        <w:tab/>
      </w:r>
      <w:r>
        <w:rPr>
          <w:rFonts w:hint="eastAsia"/>
          <w:sz w:val="32"/>
          <w:szCs w:val="32"/>
          <w:highlight w:val="none"/>
          <w:lang w:val="en-US" w:eastAsia="zh-CN"/>
        </w:rPr>
        <w:t>4</w:t>
      </w:r>
      <w:r>
        <w:rPr>
          <w:sz w:val="32"/>
          <w:szCs w:val="32"/>
          <w:highlight w:val="none"/>
        </w:rPr>
        <w:fldChar w:fldCharType="end"/>
      </w:r>
    </w:p>
    <w:p>
      <w:pPr>
        <w:pStyle w:val="7"/>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"_Toc24123" </w:instrText>
      </w:r>
      <w:r>
        <w:rPr>
          <w:highlight w:val="none"/>
        </w:rPr>
        <w:fldChar w:fldCharType="separate"/>
      </w:r>
      <w:r>
        <w:rPr>
          <w:rFonts w:eastAsia="黑体"/>
          <w:sz w:val="32"/>
          <w:szCs w:val="32"/>
          <w:highlight w:val="none"/>
        </w:rPr>
        <w:t>二、部门整体支出管理及使用情况</w:t>
      </w:r>
      <w:r>
        <w:rPr>
          <w:sz w:val="32"/>
          <w:szCs w:val="32"/>
          <w:highlight w:val="none"/>
        </w:rPr>
        <w:tab/>
      </w:r>
      <w:r>
        <w:rPr>
          <w:rFonts w:hint="eastAsia"/>
          <w:sz w:val="32"/>
          <w:szCs w:val="32"/>
          <w:highlight w:val="none"/>
          <w:lang w:val="en-US" w:eastAsia="zh-CN"/>
        </w:rPr>
        <w:t>4</w:t>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"_Toc17657" </w:instrText>
      </w:r>
      <w:r>
        <w:rPr>
          <w:highlight w:val="none"/>
        </w:rPr>
        <w:fldChar w:fldCharType="separate"/>
      </w:r>
      <w:r>
        <w:rPr>
          <w:rFonts w:eastAsia="楷体_GB2312"/>
          <w:sz w:val="32"/>
          <w:szCs w:val="32"/>
          <w:highlight w:val="none"/>
        </w:rPr>
        <w:t>（一）预算执行、使用、管理总体情况。</w:t>
      </w:r>
      <w:r>
        <w:rPr>
          <w:sz w:val="32"/>
          <w:szCs w:val="32"/>
          <w:highlight w:val="none"/>
        </w:rPr>
        <w:tab/>
      </w:r>
      <w:r>
        <w:rPr>
          <w:rFonts w:hint="eastAsia"/>
          <w:sz w:val="32"/>
          <w:szCs w:val="32"/>
          <w:highlight w:val="none"/>
          <w:lang w:val="en-US" w:eastAsia="zh-CN"/>
        </w:rPr>
        <w:t>4</w:t>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"_Toc6683" </w:instrText>
      </w:r>
      <w:r>
        <w:rPr>
          <w:highlight w:val="none"/>
        </w:rPr>
        <w:fldChar w:fldCharType="separate"/>
      </w:r>
      <w:r>
        <w:rPr>
          <w:rFonts w:eastAsia="华文仿宋"/>
          <w:bCs/>
          <w:sz w:val="32"/>
          <w:szCs w:val="32"/>
          <w:highlight w:val="none"/>
          <w:shd w:val="clear" w:color="auto" w:fill="FFFFFF"/>
        </w:rPr>
        <w:t>1、</w:t>
      </w:r>
      <w:r>
        <w:rPr>
          <w:rFonts w:hint="eastAsia" w:eastAsia="华文仿宋"/>
          <w:bCs/>
          <w:sz w:val="32"/>
          <w:szCs w:val="32"/>
          <w:highlight w:val="none"/>
          <w:shd w:val="clear" w:color="auto" w:fill="FFFFFF"/>
        </w:rPr>
        <w:t>预算执行</w:t>
      </w:r>
      <w:r>
        <w:rPr>
          <w:rFonts w:eastAsia="华文仿宋"/>
          <w:bCs/>
          <w:sz w:val="32"/>
          <w:szCs w:val="32"/>
          <w:highlight w:val="none"/>
          <w:shd w:val="clear" w:color="auto" w:fill="FFFFFF"/>
        </w:rPr>
        <w:t>总体情况</w:t>
      </w:r>
      <w:r>
        <w:rPr>
          <w:sz w:val="32"/>
          <w:szCs w:val="32"/>
          <w:highlight w:val="none"/>
        </w:rPr>
        <w:tab/>
      </w:r>
      <w:r>
        <w:rPr>
          <w:rFonts w:hint="eastAsia"/>
          <w:sz w:val="32"/>
          <w:szCs w:val="32"/>
          <w:highlight w:val="none"/>
          <w:lang w:val="en-US" w:eastAsia="zh-CN"/>
        </w:rPr>
        <w:t>4</w:t>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"_Toc17619" </w:instrText>
      </w:r>
      <w:r>
        <w:rPr>
          <w:highlight w:val="none"/>
        </w:rPr>
        <w:fldChar w:fldCharType="separate"/>
      </w:r>
      <w:r>
        <w:rPr>
          <w:rFonts w:eastAsia="华文仿宋"/>
          <w:bCs/>
          <w:sz w:val="32"/>
          <w:szCs w:val="32"/>
          <w:highlight w:val="none"/>
          <w:shd w:val="clear" w:color="auto" w:fill="FFFFFF"/>
        </w:rPr>
        <w:t>2、基本支出情况</w:t>
      </w:r>
      <w:r>
        <w:rPr>
          <w:sz w:val="32"/>
          <w:szCs w:val="32"/>
          <w:highlight w:val="none"/>
        </w:rPr>
        <w:tab/>
      </w:r>
      <w:r>
        <w:rPr>
          <w:rFonts w:hint="eastAsia"/>
          <w:sz w:val="32"/>
          <w:szCs w:val="32"/>
          <w:highlight w:val="none"/>
          <w:lang w:val="en-US" w:eastAsia="zh-CN"/>
        </w:rPr>
        <w:t>4</w:t>
      </w:r>
      <w:r>
        <w:rPr>
          <w:sz w:val="32"/>
          <w:szCs w:val="32"/>
          <w:highlight w:val="none"/>
        </w:rPr>
        <w:fldChar w:fldCharType="end"/>
      </w:r>
    </w:p>
    <w:p>
      <w:pPr>
        <w:pStyle w:val="4"/>
        <w:tabs>
          <w:tab w:val="right" w:leader="dot" w:pos="8306"/>
        </w:tabs>
        <w:spacing w:line="600" w:lineRule="exact"/>
        <w:rPr>
          <w:rFonts w:hint="eastAsia" w:eastAsia="宋体"/>
          <w:bCs/>
          <w:sz w:val="32"/>
          <w:szCs w:val="32"/>
          <w:highlight w:val="none"/>
          <w:lang w:eastAsia="zh-CN"/>
        </w:rPr>
      </w:pPr>
      <w:r>
        <w:rPr>
          <w:rFonts w:hint="eastAsia" w:eastAsia="黑体"/>
          <w:bCs/>
          <w:sz w:val="32"/>
          <w:szCs w:val="32"/>
          <w:highlight w:val="none"/>
        </w:rPr>
        <w:t>3、</w:t>
      </w:r>
      <w:r>
        <w:rPr>
          <w:rFonts w:hint="eastAsia" w:eastAsia="华文仿宋"/>
          <w:bCs/>
          <w:sz w:val="32"/>
          <w:szCs w:val="32"/>
          <w:highlight w:val="none"/>
          <w:shd w:val="clear" w:color="auto" w:fill="FFFFFF"/>
        </w:rPr>
        <w:t>项目</w:t>
      </w:r>
      <w:r>
        <w:rPr>
          <w:rFonts w:eastAsia="华文仿宋"/>
          <w:bCs/>
          <w:sz w:val="32"/>
          <w:szCs w:val="32"/>
          <w:highlight w:val="none"/>
          <w:shd w:val="clear" w:color="auto" w:fill="FFFFFF"/>
        </w:rPr>
        <w:t>支出情况</w:t>
      </w:r>
      <w:r>
        <w:rPr>
          <w:sz w:val="32"/>
          <w:szCs w:val="32"/>
          <w:highlight w:val="none"/>
        </w:rPr>
        <w:tab/>
      </w:r>
      <w:r>
        <w:rPr>
          <w:rFonts w:hint="eastAsia"/>
          <w:sz w:val="32"/>
          <w:szCs w:val="32"/>
          <w:highlight w:val="none"/>
          <w:lang w:val="en-US" w:eastAsia="zh-CN"/>
        </w:rPr>
        <w:t>5</w:t>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"_Toc13251" </w:instrText>
      </w:r>
      <w:r>
        <w:rPr>
          <w:highlight w:val="none"/>
        </w:rPr>
        <w:fldChar w:fldCharType="separate"/>
      </w:r>
      <w:r>
        <w:rPr>
          <w:rFonts w:hint="eastAsia" w:eastAsia="华文仿宋"/>
          <w:bCs/>
          <w:sz w:val="32"/>
          <w:szCs w:val="32"/>
          <w:highlight w:val="none"/>
          <w:shd w:val="clear" w:color="auto" w:fill="FFFFFF"/>
        </w:rPr>
        <w:t>4</w:t>
      </w:r>
      <w:r>
        <w:rPr>
          <w:rFonts w:eastAsia="华文仿宋"/>
          <w:bCs/>
          <w:sz w:val="32"/>
          <w:szCs w:val="32"/>
          <w:highlight w:val="none"/>
          <w:shd w:val="clear" w:color="auto" w:fill="FFFFFF"/>
        </w:rPr>
        <w:t>、“三公经费”预算支出情况</w:t>
      </w:r>
      <w:r>
        <w:rPr>
          <w:sz w:val="32"/>
          <w:szCs w:val="32"/>
          <w:highlight w:val="none"/>
        </w:rPr>
        <w:tab/>
      </w:r>
      <w:r>
        <w:rPr>
          <w:rFonts w:hint="eastAsia"/>
          <w:sz w:val="32"/>
          <w:szCs w:val="32"/>
          <w:highlight w:val="none"/>
          <w:lang w:val="en-US" w:eastAsia="zh-CN"/>
        </w:rPr>
        <w:t>5</w:t>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"_Toc4437" </w:instrText>
      </w:r>
      <w:r>
        <w:rPr>
          <w:highlight w:val="none"/>
        </w:rPr>
        <w:fldChar w:fldCharType="separate"/>
      </w:r>
      <w:r>
        <w:rPr>
          <w:rFonts w:hint="eastAsia" w:eastAsia="华文仿宋"/>
          <w:bCs/>
          <w:sz w:val="32"/>
          <w:szCs w:val="32"/>
          <w:highlight w:val="none"/>
          <w:shd w:val="clear" w:color="auto" w:fill="FFFFFF"/>
        </w:rPr>
        <w:t>5</w:t>
      </w:r>
      <w:r>
        <w:rPr>
          <w:rFonts w:eastAsia="华文仿宋"/>
          <w:bCs/>
          <w:sz w:val="32"/>
          <w:szCs w:val="32"/>
          <w:highlight w:val="none"/>
          <w:shd w:val="clear" w:color="auto" w:fill="FFFFFF"/>
        </w:rPr>
        <w:t>、政府采购预算支出情况</w:t>
      </w:r>
      <w:r>
        <w:rPr>
          <w:sz w:val="32"/>
          <w:szCs w:val="32"/>
          <w:highlight w:val="none"/>
        </w:rPr>
        <w:tab/>
      </w:r>
      <w:r>
        <w:rPr>
          <w:rFonts w:hint="eastAsia"/>
          <w:sz w:val="32"/>
          <w:szCs w:val="32"/>
          <w:highlight w:val="none"/>
          <w:lang w:val="en-US" w:eastAsia="zh-CN"/>
        </w:rPr>
        <w:t>6</w:t>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"_Toc21099" </w:instrText>
      </w:r>
      <w:r>
        <w:rPr>
          <w:highlight w:val="none"/>
        </w:rPr>
        <w:fldChar w:fldCharType="separate"/>
      </w:r>
      <w:r>
        <w:rPr>
          <w:rFonts w:hint="eastAsia" w:eastAsia="华文仿宋"/>
          <w:bCs/>
          <w:sz w:val="32"/>
          <w:szCs w:val="32"/>
          <w:highlight w:val="none"/>
          <w:shd w:val="clear" w:color="auto" w:fill="FFFFFF"/>
        </w:rPr>
        <w:t>6</w:t>
      </w:r>
      <w:r>
        <w:rPr>
          <w:rFonts w:eastAsia="华文仿宋"/>
          <w:bCs/>
          <w:sz w:val="32"/>
          <w:szCs w:val="32"/>
          <w:highlight w:val="none"/>
          <w:shd w:val="clear" w:color="auto" w:fill="FFFFFF"/>
        </w:rPr>
        <w:t>、</w:t>
      </w:r>
      <w:r>
        <w:rPr>
          <w:sz w:val="32"/>
          <w:szCs w:val="32"/>
          <w:highlight w:val="none"/>
        </w:rPr>
        <w:fldChar w:fldCharType="end"/>
      </w:r>
      <w:r>
        <w:rPr>
          <w:highlight w:val="none"/>
        </w:rPr>
        <w:fldChar w:fldCharType="begin"/>
      </w:r>
      <w:r>
        <w:rPr>
          <w:highlight w:val="none"/>
        </w:rPr>
        <w:instrText xml:space="preserve"> HYPERLINK \l "_Toc14072" </w:instrText>
      </w:r>
      <w:r>
        <w:rPr>
          <w:highlight w:val="none"/>
        </w:rPr>
        <w:fldChar w:fldCharType="separate"/>
      </w:r>
      <w:r>
        <w:rPr>
          <w:rFonts w:eastAsia="华文仿宋"/>
          <w:bCs/>
          <w:sz w:val="32"/>
          <w:szCs w:val="32"/>
          <w:highlight w:val="none"/>
          <w:shd w:val="clear" w:color="auto" w:fill="FFFFFF"/>
        </w:rPr>
        <w:t>制度建设及执行情况</w:t>
      </w:r>
      <w:r>
        <w:rPr>
          <w:sz w:val="32"/>
          <w:szCs w:val="32"/>
          <w:highlight w:val="none"/>
        </w:rPr>
        <w:tab/>
      </w:r>
      <w:r>
        <w:rPr>
          <w:rFonts w:hint="eastAsia"/>
          <w:sz w:val="32"/>
          <w:szCs w:val="32"/>
          <w:highlight w:val="none"/>
          <w:lang w:val="en-US" w:eastAsia="zh-CN"/>
        </w:rPr>
        <w:t>6</w:t>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"_Toc12889" </w:instrText>
      </w:r>
      <w:r>
        <w:rPr>
          <w:highlight w:val="none"/>
        </w:rPr>
        <w:fldChar w:fldCharType="separate"/>
      </w:r>
      <w:r>
        <w:rPr>
          <w:rFonts w:hint="eastAsia" w:eastAsia="楷体"/>
          <w:bCs/>
          <w:sz w:val="32"/>
          <w:szCs w:val="32"/>
          <w:highlight w:val="none"/>
        </w:rPr>
        <w:t>（</w:t>
      </w:r>
      <w:r>
        <w:rPr>
          <w:rFonts w:eastAsia="楷体"/>
          <w:bCs/>
          <w:sz w:val="32"/>
          <w:szCs w:val="32"/>
          <w:highlight w:val="none"/>
        </w:rPr>
        <w:t>1）资金管理制度建设及执行情况</w:t>
      </w:r>
      <w:r>
        <w:rPr>
          <w:sz w:val="32"/>
          <w:szCs w:val="32"/>
          <w:highlight w:val="none"/>
        </w:rPr>
        <w:tab/>
      </w:r>
      <w:r>
        <w:rPr>
          <w:rFonts w:hint="eastAsia"/>
          <w:sz w:val="32"/>
          <w:szCs w:val="32"/>
          <w:highlight w:val="none"/>
          <w:lang w:val="en-US" w:eastAsia="zh-CN"/>
        </w:rPr>
        <w:t>6</w:t>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"_Toc9165" </w:instrText>
      </w:r>
      <w:r>
        <w:rPr>
          <w:highlight w:val="none"/>
        </w:rPr>
        <w:fldChar w:fldCharType="separate"/>
      </w:r>
      <w:r>
        <w:rPr>
          <w:rFonts w:eastAsia="楷体"/>
          <w:bCs/>
          <w:sz w:val="32"/>
          <w:szCs w:val="32"/>
          <w:highlight w:val="none"/>
        </w:rPr>
        <w:t>（2）</w:t>
      </w:r>
      <w:r>
        <w:rPr>
          <w:sz w:val="32"/>
          <w:szCs w:val="32"/>
          <w:highlight w:val="none"/>
        </w:rPr>
        <w:fldChar w:fldCharType="end"/>
      </w:r>
      <w:r>
        <w:rPr>
          <w:highlight w:val="none"/>
        </w:rPr>
        <w:fldChar w:fldCharType="begin"/>
      </w:r>
      <w:r>
        <w:rPr>
          <w:highlight w:val="none"/>
        </w:rPr>
        <w:instrText xml:space="preserve"> HYPERLINK \l "_Toc18583" </w:instrText>
      </w:r>
      <w:r>
        <w:rPr>
          <w:highlight w:val="none"/>
        </w:rPr>
        <w:fldChar w:fldCharType="separate"/>
      </w:r>
      <w:r>
        <w:rPr>
          <w:rFonts w:hint="eastAsia" w:eastAsia="楷体"/>
          <w:bCs/>
          <w:sz w:val="32"/>
          <w:szCs w:val="32"/>
          <w:highlight w:val="none"/>
        </w:rPr>
        <w:t>资产管理制度建设及执行情况</w:t>
      </w:r>
      <w:r>
        <w:rPr>
          <w:sz w:val="32"/>
          <w:szCs w:val="32"/>
          <w:highlight w:val="none"/>
        </w:rPr>
        <w:tab/>
      </w:r>
      <w:r>
        <w:rPr>
          <w:rFonts w:hint="eastAsia"/>
          <w:sz w:val="32"/>
          <w:szCs w:val="32"/>
          <w:highlight w:val="none"/>
          <w:lang w:val="en-US" w:eastAsia="zh-CN"/>
        </w:rPr>
        <w:t>7</w:t>
      </w:r>
      <w:r>
        <w:rPr>
          <w:sz w:val="32"/>
          <w:szCs w:val="32"/>
          <w:highlight w:val="none"/>
        </w:rPr>
        <w:fldChar w:fldCharType="end"/>
      </w:r>
    </w:p>
    <w:p>
      <w:pPr>
        <w:pStyle w:val="7"/>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"_Toc17141" </w:instrText>
      </w:r>
      <w:r>
        <w:rPr>
          <w:highlight w:val="none"/>
        </w:rPr>
        <w:fldChar w:fldCharType="separate"/>
      </w:r>
      <w:r>
        <w:rPr>
          <w:rFonts w:hint="eastAsia" w:eastAsia="黑体"/>
          <w:sz w:val="32"/>
          <w:szCs w:val="32"/>
          <w:highlight w:val="none"/>
        </w:rPr>
        <w:t>三、绩效评价工作情况及评价结论</w:t>
      </w:r>
      <w:r>
        <w:rPr>
          <w:sz w:val="32"/>
          <w:szCs w:val="32"/>
          <w:highlight w:val="none"/>
        </w:rPr>
        <w:tab/>
      </w:r>
      <w:r>
        <w:rPr>
          <w:rFonts w:hint="eastAsia"/>
          <w:sz w:val="32"/>
          <w:szCs w:val="32"/>
          <w:highlight w:val="none"/>
          <w:lang w:val="en-US" w:eastAsia="zh-CN"/>
        </w:rPr>
        <w:t>8</w:t>
      </w:r>
      <w:r>
        <w:rPr>
          <w:sz w:val="32"/>
          <w:szCs w:val="32"/>
          <w:highlight w:val="none"/>
        </w:rPr>
        <w:fldChar w:fldCharType="end"/>
      </w:r>
    </w:p>
    <w:p>
      <w:pPr>
        <w:pStyle w:val="7"/>
        <w:tabs>
          <w:tab w:val="right" w:leader="dot" w:pos="8306"/>
        </w:tabs>
        <w:spacing w:line="600" w:lineRule="exact"/>
        <w:rPr>
          <w:rFonts w:hint="eastAsia" w:eastAsia="宋体"/>
          <w:sz w:val="32"/>
          <w:szCs w:val="32"/>
          <w:highlight w:val="none"/>
          <w:lang w:val="en-US" w:eastAsia="zh-CN"/>
        </w:rPr>
      </w:pPr>
      <w:r>
        <w:rPr>
          <w:highlight w:val="none"/>
        </w:rPr>
        <w:fldChar w:fldCharType="begin"/>
      </w:r>
      <w:r>
        <w:rPr>
          <w:highlight w:val="none"/>
        </w:rPr>
        <w:instrText xml:space="preserve"> HYPERLINK \l "_Toc23836" </w:instrText>
      </w:r>
      <w:r>
        <w:rPr>
          <w:highlight w:val="none"/>
        </w:rPr>
        <w:fldChar w:fldCharType="separate"/>
      </w:r>
      <w:r>
        <w:rPr>
          <w:rFonts w:eastAsia="黑体"/>
          <w:sz w:val="32"/>
          <w:szCs w:val="32"/>
          <w:highlight w:val="none"/>
        </w:rPr>
        <w:t>四、部门整体支出绩效情况</w:t>
      </w:r>
      <w:r>
        <w:rPr>
          <w:sz w:val="32"/>
          <w:szCs w:val="32"/>
          <w:highlight w:val="none"/>
        </w:rPr>
        <w:tab/>
      </w:r>
      <w:r>
        <w:rPr>
          <w:rFonts w:hint="eastAsia"/>
          <w:sz w:val="32"/>
          <w:szCs w:val="32"/>
          <w:highlight w:val="none"/>
          <w:lang w:val="en-US" w:eastAsia="zh-CN"/>
        </w:rPr>
        <w:t>9</w:t>
      </w:r>
      <w:r>
        <w:rPr>
          <w:sz w:val="32"/>
          <w:szCs w:val="32"/>
          <w:highlight w:val="none"/>
        </w:rPr>
        <w:fldChar w:fldCharType="end"/>
      </w:r>
    </w:p>
    <w:p>
      <w:pPr>
        <w:pStyle w:val="8"/>
        <w:tabs>
          <w:tab w:val="right" w:leader="dot" w:pos="8306"/>
        </w:tabs>
        <w:spacing w:line="600" w:lineRule="exact"/>
        <w:rPr>
          <w:rFonts w:hint="eastAsia" w:eastAsia="楷体"/>
          <w:bCs/>
          <w:sz w:val="32"/>
          <w:szCs w:val="32"/>
          <w:highlight w:val="none"/>
          <w:lang w:val="en-US" w:eastAsia="zh-CN"/>
        </w:rPr>
      </w:pPr>
      <w:r>
        <w:rPr>
          <w:rFonts w:eastAsia="楷体"/>
          <w:bCs/>
          <w:sz w:val="32"/>
          <w:szCs w:val="32"/>
          <w:highlight w:val="none"/>
        </w:rPr>
        <w:fldChar w:fldCharType="begin"/>
      </w:r>
      <w:r>
        <w:rPr>
          <w:rFonts w:eastAsia="楷体"/>
          <w:bCs/>
          <w:sz w:val="32"/>
          <w:szCs w:val="32"/>
          <w:highlight w:val="none"/>
        </w:rPr>
        <w:instrText xml:space="preserve"> HYPERLINK \l "_Toc26770" </w:instrText>
      </w:r>
      <w:r>
        <w:rPr>
          <w:rFonts w:eastAsia="楷体"/>
          <w:bCs/>
          <w:sz w:val="32"/>
          <w:szCs w:val="32"/>
          <w:highlight w:val="none"/>
        </w:rPr>
        <w:fldChar w:fldCharType="separate"/>
      </w:r>
      <w:r>
        <w:rPr>
          <w:rFonts w:hint="eastAsia" w:eastAsia="楷体_GB2312"/>
          <w:sz w:val="32"/>
          <w:szCs w:val="32"/>
          <w:highlight w:val="none"/>
          <w:lang w:val="en-US" w:eastAsia="zh-CN"/>
        </w:rPr>
        <w:t>（一）对占道经营进行全面整治</w:t>
      </w:r>
      <w:r>
        <w:rPr>
          <w:rFonts w:eastAsia="楷体"/>
          <w:bCs/>
          <w:sz w:val="32"/>
          <w:szCs w:val="32"/>
          <w:highlight w:val="none"/>
        </w:rPr>
        <w:tab/>
      </w:r>
      <w:r>
        <w:rPr>
          <w:rFonts w:eastAsia="楷体"/>
          <w:bCs/>
          <w:sz w:val="32"/>
          <w:szCs w:val="32"/>
          <w:highlight w:val="none"/>
        </w:rPr>
        <w:fldChar w:fldCharType="end"/>
      </w:r>
      <w:r>
        <w:rPr>
          <w:rFonts w:hint="eastAsia" w:eastAsia="楷体"/>
          <w:bCs/>
          <w:sz w:val="32"/>
          <w:szCs w:val="32"/>
          <w:highlight w:val="none"/>
          <w:lang w:val="en-US" w:eastAsia="zh-CN"/>
        </w:rPr>
        <w:t>9</w:t>
      </w:r>
    </w:p>
    <w:p>
      <w:pPr>
        <w:pStyle w:val="8"/>
        <w:tabs>
          <w:tab w:val="right" w:leader="dot" w:pos="8306"/>
        </w:tabs>
        <w:spacing w:line="600" w:lineRule="exact"/>
        <w:rPr>
          <w:sz w:val="32"/>
          <w:szCs w:val="32"/>
          <w:highlight w:val="none"/>
        </w:rPr>
      </w:pPr>
      <w:r>
        <w:rPr>
          <w:rFonts w:eastAsia="楷体"/>
          <w:bCs/>
          <w:sz w:val="32"/>
          <w:szCs w:val="32"/>
          <w:highlight w:val="none"/>
        </w:rPr>
        <w:fldChar w:fldCharType="begin"/>
      </w:r>
      <w:r>
        <w:rPr>
          <w:rFonts w:eastAsia="楷体"/>
          <w:bCs/>
          <w:sz w:val="32"/>
          <w:szCs w:val="32"/>
          <w:highlight w:val="none"/>
        </w:rPr>
        <w:instrText xml:space="preserve"> HYPERLINK \l "_Toc5984" </w:instrText>
      </w:r>
      <w:r>
        <w:rPr>
          <w:rFonts w:eastAsia="楷体"/>
          <w:bCs/>
          <w:sz w:val="32"/>
          <w:szCs w:val="32"/>
          <w:highlight w:val="none"/>
        </w:rPr>
        <w:fldChar w:fldCharType="separate"/>
      </w:r>
      <w:r>
        <w:rPr>
          <w:rFonts w:hint="eastAsia" w:eastAsia="楷体_GB2312"/>
          <w:sz w:val="32"/>
          <w:szCs w:val="32"/>
          <w:highlight w:val="none"/>
          <w:lang w:val="en-US" w:eastAsia="zh-CN"/>
        </w:rPr>
        <w:t>（二）集中力量开展马路市场整治行动</w:t>
      </w:r>
      <w:r>
        <w:rPr>
          <w:rFonts w:eastAsia="楷体"/>
          <w:bCs/>
          <w:sz w:val="32"/>
          <w:szCs w:val="32"/>
          <w:highlight w:val="none"/>
        </w:rPr>
        <w:tab/>
      </w:r>
      <w:r>
        <w:rPr>
          <w:rFonts w:hint="eastAsia" w:eastAsia="楷体"/>
          <w:bCs/>
          <w:sz w:val="32"/>
          <w:szCs w:val="32"/>
          <w:highlight w:val="none"/>
          <w:lang w:val="en-US" w:eastAsia="zh-CN"/>
        </w:rPr>
        <w:t>9</w:t>
      </w:r>
      <w:r>
        <w:rPr>
          <w:rFonts w:eastAsia="楷体"/>
          <w:bCs/>
          <w:sz w:val="32"/>
          <w:szCs w:val="32"/>
          <w:highlight w:val="none"/>
        </w:rPr>
        <w:fldChar w:fldCharType="end"/>
      </w:r>
    </w:p>
    <w:p>
      <w:pPr>
        <w:pStyle w:val="8"/>
        <w:tabs>
          <w:tab w:val="right" w:leader="dot" w:pos="8306"/>
        </w:tabs>
        <w:spacing w:line="600" w:lineRule="exact"/>
        <w:rPr>
          <w:rFonts w:hint="eastAsia" w:eastAsia="楷体_GB2312"/>
          <w:sz w:val="32"/>
          <w:szCs w:val="32"/>
          <w:highlight w:val="none"/>
          <w:lang w:val="en-US" w:eastAsia="zh-CN"/>
        </w:rPr>
      </w:pPr>
      <w:r>
        <w:rPr>
          <w:rFonts w:hint="eastAsia" w:eastAsia="楷体_GB2312"/>
          <w:sz w:val="32"/>
          <w:szCs w:val="32"/>
          <w:highlight w:val="none"/>
          <w:lang w:val="en-US" w:eastAsia="zh-CN"/>
        </w:rPr>
        <w:fldChar w:fldCharType="begin"/>
      </w:r>
      <w:r>
        <w:rPr>
          <w:rFonts w:hint="eastAsia" w:eastAsia="楷体_GB2312"/>
          <w:sz w:val="32"/>
          <w:szCs w:val="32"/>
          <w:highlight w:val="none"/>
          <w:lang w:val="en-US" w:eastAsia="zh-CN"/>
        </w:rPr>
        <w:instrText xml:space="preserve"> HYPERLINK \l "_Toc15000" </w:instrText>
      </w:r>
      <w:r>
        <w:rPr>
          <w:rFonts w:hint="eastAsia" w:eastAsia="楷体_GB2312"/>
          <w:sz w:val="32"/>
          <w:szCs w:val="32"/>
          <w:highlight w:val="none"/>
          <w:lang w:val="en-US" w:eastAsia="zh-CN"/>
        </w:rPr>
        <w:fldChar w:fldCharType="separate"/>
      </w:r>
      <w:r>
        <w:rPr>
          <w:rFonts w:hint="eastAsia" w:eastAsia="楷体_GB2312"/>
          <w:sz w:val="32"/>
          <w:szCs w:val="32"/>
          <w:highlight w:val="none"/>
          <w:lang w:val="en-US" w:eastAsia="zh-CN"/>
        </w:rPr>
        <w:t>（三）强力开展户外广告专项整治</w:t>
      </w:r>
      <w:r>
        <w:rPr>
          <w:rFonts w:hint="eastAsia" w:eastAsia="楷体_GB2312"/>
          <w:sz w:val="32"/>
          <w:szCs w:val="32"/>
          <w:highlight w:val="none"/>
          <w:lang w:val="en-US" w:eastAsia="zh-CN"/>
        </w:rPr>
        <w:tab/>
      </w:r>
      <w:r>
        <w:rPr>
          <w:rFonts w:hint="eastAsia" w:eastAsia="楷体_GB2312"/>
          <w:sz w:val="32"/>
          <w:szCs w:val="32"/>
          <w:highlight w:val="none"/>
          <w:lang w:val="en-US" w:eastAsia="zh-CN"/>
        </w:rPr>
        <w:fldChar w:fldCharType="begin"/>
      </w:r>
      <w:r>
        <w:rPr>
          <w:rFonts w:hint="eastAsia" w:eastAsia="楷体_GB2312"/>
          <w:sz w:val="32"/>
          <w:szCs w:val="32"/>
          <w:highlight w:val="none"/>
          <w:lang w:val="en-US" w:eastAsia="zh-CN"/>
        </w:rPr>
        <w:instrText xml:space="preserve"> PAGEREF _Toc15000 \h </w:instrText>
      </w:r>
      <w:r>
        <w:rPr>
          <w:rFonts w:hint="eastAsia" w:eastAsia="楷体_GB2312"/>
          <w:sz w:val="32"/>
          <w:szCs w:val="32"/>
          <w:highlight w:val="none"/>
          <w:lang w:val="en-US" w:eastAsia="zh-CN"/>
        </w:rPr>
        <w:fldChar w:fldCharType="separate"/>
      </w:r>
      <w:r>
        <w:rPr>
          <w:rFonts w:hint="eastAsia" w:eastAsia="楷体_GB2312"/>
          <w:sz w:val="32"/>
          <w:szCs w:val="32"/>
          <w:highlight w:val="none"/>
          <w:lang w:val="en-US" w:eastAsia="zh-CN"/>
        </w:rPr>
        <w:t>11</w:t>
      </w:r>
      <w:r>
        <w:rPr>
          <w:rFonts w:hint="eastAsia" w:eastAsia="楷体_GB2312"/>
          <w:sz w:val="32"/>
          <w:szCs w:val="32"/>
          <w:highlight w:val="none"/>
          <w:lang w:val="en-US" w:eastAsia="zh-CN"/>
        </w:rPr>
        <w:fldChar w:fldCharType="end"/>
      </w:r>
      <w:r>
        <w:rPr>
          <w:rFonts w:hint="eastAsia" w:eastAsia="楷体_GB2312"/>
          <w:sz w:val="32"/>
          <w:szCs w:val="32"/>
          <w:highlight w:val="none"/>
          <w:lang w:val="en-US" w:eastAsia="zh-CN"/>
        </w:rPr>
        <w:fldChar w:fldCharType="end"/>
      </w:r>
    </w:p>
    <w:p>
      <w:pPr>
        <w:pStyle w:val="8"/>
        <w:tabs>
          <w:tab w:val="right" w:leader="dot" w:pos="8306"/>
        </w:tabs>
        <w:spacing w:line="600" w:lineRule="exact"/>
        <w:rPr>
          <w:sz w:val="32"/>
          <w:szCs w:val="32"/>
          <w:highlight w:val="none"/>
        </w:rPr>
      </w:pPr>
      <w:r>
        <w:rPr>
          <w:rFonts w:hint="eastAsia" w:eastAsia="楷体_GB2312"/>
          <w:sz w:val="32"/>
          <w:szCs w:val="32"/>
          <w:highlight w:val="none"/>
          <w:lang w:val="en-US" w:eastAsia="zh-CN"/>
        </w:rPr>
        <w:fldChar w:fldCharType="begin"/>
      </w:r>
      <w:r>
        <w:rPr>
          <w:rFonts w:hint="eastAsia" w:eastAsia="楷体_GB2312"/>
          <w:sz w:val="32"/>
          <w:szCs w:val="32"/>
          <w:highlight w:val="none"/>
          <w:lang w:val="en-US" w:eastAsia="zh-CN"/>
        </w:rPr>
        <w:instrText xml:space="preserve"> HYPERLINK \l "_Toc15000" </w:instrText>
      </w:r>
      <w:r>
        <w:rPr>
          <w:rFonts w:hint="eastAsia" w:eastAsia="楷体_GB2312"/>
          <w:sz w:val="32"/>
          <w:szCs w:val="32"/>
          <w:highlight w:val="none"/>
          <w:lang w:val="en-US" w:eastAsia="zh-CN"/>
        </w:rPr>
        <w:fldChar w:fldCharType="separate"/>
      </w:r>
      <w:r>
        <w:rPr>
          <w:rFonts w:hint="eastAsia" w:eastAsia="楷体_GB2312"/>
          <w:sz w:val="32"/>
          <w:szCs w:val="32"/>
          <w:highlight w:val="none"/>
          <w:lang w:val="en-US" w:eastAsia="zh-CN"/>
        </w:rPr>
        <w:t>（四）严格规范人行道停车秩序</w:t>
      </w:r>
      <w:r>
        <w:rPr>
          <w:rFonts w:hint="eastAsia" w:eastAsia="楷体_GB2312"/>
          <w:sz w:val="32"/>
          <w:szCs w:val="32"/>
          <w:highlight w:val="none"/>
          <w:lang w:val="en-US" w:eastAsia="zh-CN"/>
        </w:rPr>
        <w:tab/>
      </w:r>
      <w:r>
        <w:rPr>
          <w:rFonts w:hint="eastAsia" w:eastAsia="楷体_GB2312"/>
          <w:sz w:val="32"/>
          <w:szCs w:val="32"/>
          <w:highlight w:val="none"/>
          <w:lang w:val="en-US" w:eastAsia="zh-CN"/>
        </w:rPr>
        <w:fldChar w:fldCharType="begin"/>
      </w:r>
      <w:r>
        <w:rPr>
          <w:rFonts w:hint="eastAsia" w:eastAsia="楷体_GB2312"/>
          <w:sz w:val="32"/>
          <w:szCs w:val="32"/>
          <w:highlight w:val="none"/>
          <w:lang w:val="en-US" w:eastAsia="zh-CN"/>
        </w:rPr>
        <w:instrText xml:space="preserve"> PAGEREF _Toc15000 \h </w:instrText>
      </w:r>
      <w:r>
        <w:rPr>
          <w:rFonts w:hint="eastAsia" w:eastAsia="楷体_GB2312"/>
          <w:sz w:val="32"/>
          <w:szCs w:val="32"/>
          <w:highlight w:val="none"/>
          <w:lang w:val="en-US" w:eastAsia="zh-CN"/>
        </w:rPr>
        <w:fldChar w:fldCharType="separate"/>
      </w:r>
      <w:r>
        <w:rPr>
          <w:rFonts w:hint="eastAsia" w:eastAsia="楷体_GB2312"/>
          <w:sz w:val="32"/>
          <w:szCs w:val="32"/>
          <w:highlight w:val="none"/>
          <w:lang w:val="en-US" w:eastAsia="zh-CN"/>
        </w:rPr>
        <w:t>12</w:t>
      </w:r>
      <w:r>
        <w:rPr>
          <w:rFonts w:hint="eastAsia" w:eastAsia="楷体_GB2312"/>
          <w:sz w:val="32"/>
          <w:szCs w:val="32"/>
          <w:highlight w:val="none"/>
          <w:lang w:val="en-US" w:eastAsia="zh-CN"/>
        </w:rPr>
        <w:fldChar w:fldCharType="end"/>
      </w:r>
      <w:r>
        <w:rPr>
          <w:rFonts w:hint="eastAsia" w:eastAsia="楷体_GB2312"/>
          <w:sz w:val="32"/>
          <w:szCs w:val="32"/>
          <w:highlight w:val="none"/>
          <w:lang w:val="en-US" w:eastAsia="zh-CN"/>
        </w:rPr>
        <w:fldChar w:fldCharType="end"/>
      </w:r>
    </w:p>
    <w:p>
      <w:pPr>
        <w:pStyle w:val="7"/>
        <w:tabs>
          <w:tab w:val="right" w:leader="dot" w:pos="8306"/>
        </w:tabs>
        <w:snapToGrid w:val="0"/>
        <w:spacing w:line="600" w:lineRule="exact"/>
        <w:rPr>
          <w:rFonts w:eastAsia="黑体"/>
          <w:bCs/>
          <w:sz w:val="32"/>
          <w:szCs w:val="32"/>
          <w:highlight w:val="none"/>
        </w:rPr>
      </w:pPr>
      <w:r>
        <w:rPr>
          <w:highlight w:val="none"/>
        </w:rPr>
        <w:fldChar w:fldCharType="begin"/>
      </w:r>
      <w:r>
        <w:rPr>
          <w:highlight w:val="none"/>
        </w:rPr>
        <w:instrText xml:space="preserve"> HYPERLINK \l "_Toc25840" </w:instrText>
      </w:r>
      <w:r>
        <w:rPr>
          <w:highlight w:val="none"/>
        </w:rPr>
        <w:fldChar w:fldCharType="separate"/>
      </w:r>
      <w:r>
        <w:rPr>
          <w:rFonts w:eastAsia="黑体"/>
          <w:sz w:val="32"/>
          <w:szCs w:val="32"/>
          <w:highlight w:val="none"/>
        </w:rPr>
        <w:t>五、存在的问题及原因分析</w:t>
      </w:r>
      <w:r>
        <w:rPr>
          <w:sz w:val="32"/>
          <w:szCs w:val="32"/>
          <w:highlight w:val="none"/>
        </w:rPr>
        <w:tab/>
      </w:r>
      <w:r>
        <w:rPr>
          <w:sz w:val="32"/>
          <w:szCs w:val="32"/>
          <w:highlight w:val="none"/>
        </w:rPr>
        <w:fldChar w:fldCharType="begin"/>
      </w:r>
      <w:r>
        <w:rPr>
          <w:sz w:val="32"/>
          <w:szCs w:val="32"/>
          <w:highlight w:val="none"/>
        </w:rPr>
        <w:instrText xml:space="preserve"> PAGEREF _Toc25840 \h </w:instrText>
      </w:r>
      <w:r>
        <w:rPr>
          <w:sz w:val="32"/>
          <w:szCs w:val="32"/>
          <w:highlight w:val="none"/>
        </w:rPr>
        <w:fldChar w:fldCharType="separate"/>
      </w:r>
      <w:r>
        <w:rPr>
          <w:sz w:val="32"/>
          <w:szCs w:val="32"/>
          <w:highlight w:val="none"/>
        </w:rPr>
        <w:t>1</w:t>
      </w:r>
      <w:r>
        <w:rPr>
          <w:rFonts w:hint="eastAsia"/>
          <w:sz w:val="32"/>
          <w:szCs w:val="32"/>
          <w:highlight w:val="none"/>
          <w:lang w:val="en-US" w:eastAsia="zh-CN"/>
        </w:rPr>
        <w:t>3</w:t>
      </w:r>
      <w:r>
        <w:rPr>
          <w:sz w:val="32"/>
          <w:szCs w:val="32"/>
          <w:highlight w:val="none"/>
        </w:rPr>
        <w:fldChar w:fldCharType="end"/>
      </w:r>
      <w:r>
        <w:rPr>
          <w:sz w:val="32"/>
          <w:szCs w:val="32"/>
          <w:highlight w:val="none"/>
        </w:rPr>
        <w:fldChar w:fldCharType="end"/>
      </w:r>
    </w:p>
    <w:p>
      <w:pPr>
        <w:pStyle w:val="7"/>
        <w:tabs>
          <w:tab w:val="right" w:leader="dot" w:pos="8306"/>
        </w:tabs>
        <w:snapToGrid w:val="0"/>
        <w:spacing w:line="600" w:lineRule="exact"/>
        <w:rPr>
          <w:sz w:val="32"/>
          <w:szCs w:val="32"/>
          <w:highlight w:val="none"/>
        </w:rPr>
      </w:pPr>
      <w:r>
        <w:rPr>
          <w:highlight w:val="none"/>
        </w:rPr>
        <w:fldChar w:fldCharType="begin"/>
      </w:r>
      <w:r>
        <w:rPr>
          <w:highlight w:val="none"/>
        </w:rPr>
        <w:instrText xml:space="preserve"> HYPERLINK \l "_Toc22317" </w:instrText>
      </w:r>
      <w:r>
        <w:rPr>
          <w:highlight w:val="none"/>
        </w:rPr>
        <w:fldChar w:fldCharType="separate"/>
      </w:r>
      <w:r>
        <w:rPr>
          <w:rFonts w:eastAsia="黑体"/>
          <w:sz w:val="32"/>
          <w:szCs w:val="32"/>
          <w:highlight w:val="none"/>
        </w:rPr>
        <w:t>六、</w:t>
      </w:r>
      <w:r>
        <w:rPr>
          <w:rFonts w:hint="eastAsia" w:eastAsia="黑体"/>
          <w:sz w:val="32"/>
          <w:szCs w:val="32"/>
          <w:highlight w:val="none"/>
          <w:lang w:val="en-US" w:eastAsia="zh-CN"/>
        </w:rPr>
        <w:t>其他需要说明的内容</w:t>
      </w:r>
      <w:r>
        <w:rPr>
          <w:sz w:val="32"/>
          <w:szCs w:val="32"/>
          <w:highlight w:val="none"/>
        </w:rPr>
        <w:tab/>
      </w:r>
      <w:r>
        <w:rPr>
          <w:sz w:val="32"/>
          <w:szCs w:val="32"/>
          <w:highlight w:val="none"/>
        </w:rPr>
        <w:fldChar w:fldCharType="begin"/>
      </w:r>
      <w:r>
        <w:rPr>
          <w:sz w:val="32"/>
          <w:szCs w:val="32"/>
          <w:highlight w:val="none"/>
        </w:rPr>
        <w:instrText xml:space="preserve"> PAGEREF _Toc22317 \h </w:instrText>
      </w:r>
      <w:r>
        <w:rPr>
          <w:sz w:val="32"/>
          <w:szCs w:val="32"/>
          <w:highlight w:val="none"/>
        </w:rPr>
        <w:fldChar w:fldCharType="separate"/>
      </w:r>
      <w:r>
        <w:rPr>
          <w:sz w:val="32"/>
          <w:szCs w:val="32"/>
          <w:highlight w:val="none"/>
        </w:rPr>
        <w:t>1</w:t>
      </w:r>
      <w:r>
        <w:rPr>
          <w:rFonts w:hint="eastAsia"/>
          <w:sz w:val="32"/>
          <w:szCs w:val="32"/>
          <w:highlight w:val="none"/>
          <w:lang w:val="en-US" w:eastAsia="zh-CN"/>
        </w:rPr>
        <w:t>3</w:t>
      </w:r>
      <w:r>
        <w:rPr>
          <w:sz w:val="32"/>
          <w:szCs w:val="32"/>
          <w:highlight w:val="none"/>
        </w:rPr>
        <w:fldChar w:fldCharType="end"/>
      </w:r>
      <w:r>
        <w:rPr>
          <w:sz w:val="32"/>
          <w:szCs w:val="32"/>
          <w:highlight w:val="none"/>
        </w:rPr>
        <w:fldChar w:fldCharType="end"/>
      </w:r>
    </w:p>
    <w:p>
      <w:pPr>
        <w:pStyle w:val="7"/>
        <w:tabs>
          <w:tab w:val="right" w:leader="dot" w:pos="8306"/>
        </w:tabs>
        <w:spacing w:line="600" w:lineRule="exact"/>
        <w:rPr>
          <w:rFonts w:eastAsia="黑体"/>
          <w:bCs/>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tabs>
          <w:tab w:val="left" w:pos="825"/>
        </w:tabs>
        <w:adjustRightInd w:val="0"/>
        <w:spacing w:line="600" w:lineRule="exact"/>
        <w:ind w:right="641"/>
        <w:jc w:val="center"/>
        <w:rPr>
          <w:rFonts w:hint="default" w:eastAsia="黑体"/>
          <w:b/>
          <w:bCs/>
          <w:sz w:val="44"/>
          <w:szCs w:val="44"/>
          <w:lang w:val="en-US" w:eastAsia="zh-CN"/>
        </w:rPr>
      </w:pPr>
      <w:r>
        <w:rPr>
          <w:rFonts w:eastAsia="黑体"/>
          <w:bCs/>
          <w:szCs w:val="44"/>
        </w:rPr>
        <w:fldChar w:fldCharType="end"/>
      </w:r>
      <w:r>
        <w:rPr>
          <w:rFonts w:eastAsia="黑体"/>
          <w:b/>
          <w:bCs/>
          <w:sz w:val="44"/>
          <w:szCs w:val="44"/>
        </w:rPr>
        <w:t>2021年度邵</w:t>
      </w:r>
      <w:r>
        <w:rPr>
          <w:rFonts w:hint="eastAsia" w:eastAsia="黑体"/>
          <w:b/>
          <w:bCs/>
          <w:sz w:val="44"/>
          <w:szCs w:val="44"/>
        </w:rPr>
        <w:t>东</w:t>
      </w:r>
      <w:bookmarkStart w:id="0" w:name="_Toc5107"/>
      <w:r>
        <w:rPr>
          <w:rFonts w:eastAsia="黑体"/>
          <w:b/>
          <w:bCs/>
          <w:sz w:val="44"/>
          <w:szCs w:val="44"/>
        </w:rPr>
        <w:t>市</w:t>
      </w:r>
      <w:r>
        <w:rPr>
          <w:rFonts w:hint="eastAsia" w:eastAsia="黑体"/>
          <w:b/>
          <w:bCs/>
          <w:sz w:val="44"/>
          <w:szCs w:val="44"/>
          <w:lang w:val="en-US" w:eastAsia="zh-CN"/>
        </w:rPr>
        <w:t>城市管理和综合执法局</w:t>
      </w:r>
    </w:p>
    <w:p>
      <w:pPr>
        <w:tabs>
          <w:tab w:val="left" w:pos="825"/>
        </w:tabs>
        <w:adjustRightInd w:val="0"/>
        <w:spacing w:line="600" w:lineRule="exact"/>
        <w:ind w:right="641"/>
        <w:jc w:val="center"/>
        <w:rPr>
          <w:rFonts w:eastAsia="黑体"/>
          <w:b/>
          <w:bCs/>
          <w:sz w:val="44"/>
          <w:szCs w:val="44"/>
        </w:rPr>
      </w:pPr>
      <w:r>
        <w:rPr>
          <w:rFonts w:eastAsia="黑体"/>
          <w:b/>
          <w:bCs/>
          <w:sz w:val="44"/>
          <w:szCs w:val="44"/>
        </w:rPr>
        <w:t>部门整体支出绩效评价报告</w:t>
      </w:r>
      <w:bookmarkEnd w:id="0"/>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r>
        <w:rPr>
          <w:rFonts w:eastAsia="仿宋_GB2312"/>
          <w:sz w:val="32"/>
          <w:szCs w:val="32"/>
        </w:rPr>
        <w:t>为加强财政支出管理，提高财政资金使用效益，根据</w:t>
      </w:r>
      <w:r>
        <w:rPr>
          <w:rFonts w:eastAsia="仿宋"/>
          <w:color w:val="000000"/>
          <w:kern w:val="0"/>
          <w:sz w:val="32"/>
          <w:szCs w:val="32"/>
        </w:rPr>
        <w:t>《中华人民共和国预算法》、</w:t>
      </w:r>
      <w:r>
        <w:rPr>
          <w:rFonts w:eastAsia="仿宋_GB2312"/>
          <w:sz w:val="32"/>
          <w:szCs w:val="32"/>
        </w:rPr>
        <w:t>《中共中央国务院关于全面实施预算绩效管理意见》（中发〔2018〕34号）、《中共湖南省委办公厅湖南省人民政府办公厅全面实施预算绩效管理的实施意见》（湘办发〔2019〕10号）和《邵东市财政局关于做好2022年</w:t>
      </w:r>
      <w:r>
        <w:rPr>
          <w:rFonts w:hint="eastAsia" w:eastAsia="仿宋_GB2312"/>
          <w:sz w:val="32"/>
          <w:szCs w:val="32"/>
        </w:rPr>
        <w:t>市级</w:t>
      </w:r>
      <w:r>
        <w:rPr>
          <w:rFonts w:eastAsia="仿宋_GB2312"/>
          <w:sz w:val="32"/>
          <w:szCs w:val="32"/>
        </w:rPr>
        <w:t>部门</w:t>
      </w:r>
      <w:r>
        <w:rPr>
          <w:rFonts w:hint="eastAsia" w:eastAsia="仿宋_GB2312"/>
          <w:sz w:val="32"/>
          <w:szCs w:val="32"/>
        </w:rPr>
        <w:t>（</w:t>
      </w:r>
      <w:r>
        <w:rPr>
          <w:rFonts w:eastAsia="仿宋_GB2312"/>
          <w:sz w:val="32"/>
          <w:szCs w:val="32"/>
        </w:rPr>
        <w:t>单位</w:t>
      </w:r>
      <w:r>
        <w:rPr>
          <w:rFonts w:hint="eastAsia" w:eastAsia="仿宋_GB2312"/>
          <w:sz w:val="32"/>
          <w:szCs w:val="32"/>
        </w:rPr>
        <w:t>）</w:t>
      </w:r>
      <w:r>
        <w:rPr>
          <w:rFonts w:eastAsia="仿宋_GB2312"/>
          <w:sz w:val="32"/>
          <w:szCs w:val="32"/>
        </w:rPr>
        <w:t>绩效评价工作的通知》（邵财绩〔2022〕</w:t>
      </w:r>
      <w:r>
        <w:rPr>
          <w:rFonts w:hint="eastAsia" w:eastAsia="仿宋_GB2312"/>
          <w:sz w:val="32"/>
          <w:szCs w:val="32"/>
        </w:rPr>
        <w:t>2</w:t>
      </w:r>
      <w:r>
        <w:rPr>
          <w:rFonts w:eastAsia="仿宋_GB2312"/>
          <w:sz w:val="32"/>
          <w:szCs w:val="32"/>
        </w:rPr>
        <w:t>号）有关规定，湖南南方会计师事务所绩效评价工作组于2022年</w:t>
      </w:r>
      <w:r>
        <w:rPr>
          <w:rFonts w:hint="eastAsia" w:eastAsia="仿宋_GB2312"/>
          <w:sz w:val="32"/>
          <w:szCs w:val="32"/>
          <w:lang w:val="en-US" w:eastAsia="zh-CN"/>
        </w:rPr>
        <w:t>10</w:t>
      </w:r>
      <w:r>
        <w:rPr>
          <w:rFonts w:eastAsia="仿宋_GB2312"/>
          <w:sz w:val="32"/>
          <w:szCs w:val="32"/>
        </w:rPr>
        <w:t>月对邵</w:t>
      </w:r>
      <w:r>
        <w:rPr>
          <w:rFonts w:hint="eastAsia" w:eastAsia="仿宋_GB2312"/>
          <w:sz w:val="32"/>
          <w:szCs w:val="32"/>
        </w:rPr>
        <w:t>东</w:t>
      </w:r>
      <w:r>
        <w:rPr>
          <w:rFonts w:eastAsia="仿宋_GB2312"/>
          <w:sz w:val="32"/>
          <w:szCs w:val="32"/>
        </w:rPr>
        <w:t>市</w:t>
      </w:r>
      <w:r>
        <w:rPr>
          <w:rFonts w:hint="eastAsia" w:eastAsia="仿宋_GB2312"/>
          <w:sz w:val="32"/>
          <w:szCs w:val="32"/>
          <w:lang w:val="en-US" w:eastAsia="zh-CN"/>
        </w:rPr>
        <w:t>城市管理和综合执法局</w:t>
      </w:r>
      <w:r>
        <w:rPr>
          <w:rFonts w:eastAsia="仿宋_GB2312"/>
          <w:sz w:val="32"/>
          <w:szCs w:val="32"/>
        </w:rPr>
        <w:t>2021年度部门整体支出实施了绩效评价。现将评价情况报告如下：</w:t>
      </w:r>
    </w:p>
    <w:p>
      <w:pPr>
        <w:adjustRightInd w:val="0"/>
        <w:snapToGrid w:val="0"/>
        <w:spacing w:line="600" w:lineRule="exact"/>
        <w:ind w:firstLine="640" w:firstLineChars="200"/>
        <w:outlineLvl w:val="0"/>
        <w:rPr>
          <w:rFonts w:eastAsia="黑体"/>
          <w:sz w:val="32"/>
          <w:szCs w:val="32"/>
        </w:rPr>
      </w:pPr>
      <w:bookmarkStart w:id="1" w:name="_Toc18552"/>
      <w:r>
        <w:rPr>
          <w:rFonts w:eastAsia="黑体"/>
          <w:sz w:val="32"/>
          <w:szCs w:val="32"/>
        </w:rPr>
        <w:t>一、部门概况</w:t>
      </w:r>
      <w:bookmarkEnd w:id="1"/>
    </w:p>
    <w:p>
      <w:pPr>
        <w:adjustRightInd w:val="0"/>
        <w:snapToGrid w:val="0"/>
        <w:spacing w:line="600" w:lineRule="exact"/>
        <w:ind w:firstLine="643" w:firstLineChars="200"/>
        <w:outlineLvl w:val="1"/>
        <w:rPr>
          <w:rFonts w:eastAsia="楷体"/>
          <w:b/>
          <w:bCs/>
          <w:sz w:val="32"/>
          <w:szCs w:val="32"/>
        </w:rPr>
      </w:pPr>
      <w:bookmarkStart w:id="2" w:name="_Toc5419"/>
      <w:r>
        <w:rPr>
          <w:rFonts w:eastAsia="楷体"/>
          <w:b/>
          <w:bCs/>
          <w:sz w:val="32"/>
          <w:szCs w:val="32"/>
        </w:rPr>
        <w:t>（一）部门基本情况</w:t>
      </w:r>
      <w:bookmarkEnd w:id="2"/>
    </w:p>
    <w:p>
      <w:pPr>
        <w:adjustRightInd w:val="0"/>
        <w:snapToGrid w:val="0"/>
        <w:spacing w:line="600" w:lineRule="exact"/>
        <w:ind w:firstLine="643" w:firstLineChars="200"/>
        <w:outlineLvl w:val="2"/>
        <w:rPr>
          <w:rFonts w:eastAsia="仿宋_GB2312"/>
          <w:b/>
          <w:bCs/>
          <w:sz w:val="32"/>
          <w:szCs w:val="32"/>
        </w:rPr>
      </w:pPr>
      <w:bookmarkStart w:id="3" w:name="_Toc26751"/>
      <w:r>
        <w:rPr>
          <w:rFonts w:eastAsia="仿宋_GB2312"/>
          <w:b/>
          <w:bCs/>
          <w:sz w:val="32"/>
          <w:szCs w:val="32"/>
        </w:rPr>
        <w:t>1、在职人员情况</w:t>
      </w:r>
      <w:bookmarkEnd w:id="3"/>
    </w:p>
    <w:p>
      <w:pPr>
        <w:adjustRightInd w:val="0"/>
        <w:snapToGrid w:val="0"/>
        <w:spacing w:line="600" w:lineRule="exact"/>
        <w:ind w:firstLine="640" w:firstLineChars="200"/>
        <w:rPr>
          <w:rFonts w:eastAsia="仿宋"/>
          <w:sz w:val="32"/>
          <w:szCs w:val="32"/>
        </w:rPr>
      </w:pPr>
      <w:r>
        <w:rPr>
          <w:rFonts w:eastAsia="仿宋_GB2312"/>
          <w:sz w:val="32"/>
          <w:szCs w:val="32"/>
        </w:rPr>
        <w:t>邵</w:t>
      </w:r>
      <w:r>
        <w:rPr>
          <w:rFonts w:hint="eastAsia" w:eastAsia="仿宋_GB2312"/>
          <w:sz w:val="32"/>
          <w:szCs w:val="32"/>
        </w:rPr>
        <w:t>东</w:t>
      </w:r>
      <w:r>
        <w:rPr>
          <w:rFonts w:eastAsia="仿宋_GB2312"/>
          <w:sz w:val="32"/>
          <w:szCs w:val="32"/>
        </w:rPr>
        <w:t>市委编办</w:t>
      </w:r>
      <w:r>
        <w:rPr>
          <w:rFonts w:hint="eastAsia" w:eastAsia="仿宋_GB2312"/>
          <w:sz w:val="32"/>
          <w:szCs w:val="32"/>
        </w:rPr>
        <w:t>批复邵东市</w:t>
      </w:r>
      <w:r>
        <w:rPr>
          <w:rFonts w:hint="eastAsia" w:eastAsia="仿宋_GB2312"/>
          <w:sz w:val="32"/>
          <w:szCs w:val="32"/>
          <w:lang w:val="en-US" w:eastAsia="zh-CN"/>
        </w:rPr>
        <w:t>城市管理和综合执法局</w:t>
      </w:r>
      <w:r>
        <w:rPr>
          <w:rFonts w:hint="eastAsia" w:eastAsia="仿宋_GB2312"/>
          <w:sz w:val="32"/>
          <w:szCs w:val="32"/>
        </w:rPr>
        <w:t>职工</w:t>
      </w:r>
      <w:r>
        <w:rPr>
          <w:rFonts w:eastAsia="仿宋_GB2312"/>
          <w:sz w:val="32"/>
          <w:szCs w:val="32"/>
        </w:rPr>
        <w:t>编制</w:t>
      </w:r>
      <w:r>
        <w:rPr>
          <w:rFonts w:hint="eastAsia" w:eastAsia="仿宋_GB2312"/>
          <w:sz w:val="32"/>
          <w:szCs w:val="32"/>
          <w:lang w:val="en-US" w:eastAsia="zh-CN"/>
        </w:rPr>
        <w:t>151</w:t>
      </w:r>
      <w:r>
        <w:rPr>
          <w:rFonts w:eastAsia="仿宋_GB2312"/>
          <w:sz w:val="32"/>
          <w:szCs w:val="32"/>
        </w:rPr>
        <w:t>人，2021年末实有</w:t>
      </w:r>
      <w:r>
        <w:rPr>
          <w:rFonts w:hint="eastAsia" w:eastAsia="仿宋_GB2312"/>
          <w:sz w:val="32"/>
          <w:szCs w:val="32"/>
        </w:rPr>
        <w:t>在职</w:t>
      </w:r>
      <w:r>
        <w:rPr>
          <w:rFonts w:eastAsia="仿宋_GB2312"/>
          <w:sz w:val="32"/>
          <w:szCs w:val="32"/>
        </w:rPr>
        <w:t>职工</w:t>
      </w:r>
      <w:r>
        <w:rPr>
          <w:rFonts w:hint="eastAsia" w:eastAsia="仿宋_GB2312"/>
          <w:sz w:val="32"/>
          <w:szCs w:val="32"/>
          <w:lang w:val="en-US" w:eastAsia="zh-CN"/>
        </w:rPr>
        <w:t>128</w:t>
      </w:r>
      <w:r>
        <w:rPr>
          <w:rFonts w:eastAsia="仿宋_GB2312"/>
          <w:sz w:val="32"/>
          <w:szCs w:val="32"/>
        </w:rPr>
        <w:t>人</w:t>
      </w:r>
      <w:r>
        <w:rPr>
          <w:rFonts w:hint="eastAsia" w:eastAsia="仿宋"/>
          <w:sz w:val="32"/>
          <w:szCs w:val="32"/>
        </w:rPr>
        <w:t>，人员控制率为</w:t>
      </w:r>
      <w:r>
        <w:rPr>
          <w:rFonts w:hint="eastAsia" w:eastAsia="仿宋"/>
          <w:sz w:val="32"/>
          <w:szCs w:val="32"/>
          <w:lang w:val="en-US" w:eastAsia="zh-CN"/>
        </w:rPr>
        <w:t>84.77</w:t>
      </w:r>
      <w:r>
        <w:rPr>
          <w:rFonts w:hint="eastAsia" w:eastAsia="仿宋"/>
          <w:sz w:val="32"/>
          <w:szCs w:val="32"/>
        </w:rPr>
        <w:t>%。</w:t>
      </w:r>
    </w:p>
    <w:p>
      <w:pPr>
        <w:adjustRightInd w:val="0"/>
        <w:snapToGrid w:val="0"/>
        <w:spacing w:line="600" w:lineRule="exact"/>
        <w:ind w:firstLine="643" w:firstLineChars="200"/>
        <w:outlineLvl w:val="2"/>
        <w:rPr>
          <w:rFonts w:hint="eastAsia" w:eastAsia="仿宋_GB2312"/>
          <w:b/>
          <w:bCs/>
          <w:sz w:val="32"/>
          <w:szCs w:val="32"/>
          <w:lang w:eastAsia="zh-CN"/>
        </w:rPr>
      </w:pPr>
      <w:bookmarkStart w:id="4" w:name="_Toc6568"/>
      <w:r>
        <w:rPr>
          <w:rFonts w:eastAsia="仿宋_GB2312"/>
          <w:b/>
          <w:bCs/>
          <w:sz w:val="32"/>
          <w:szCs w:val="32"/>
        </w:rPr>
        <w:t>2、机构设置情况</w:t>
      </w:r>
      <w:bookmarkEnd w:id="4"/>
    </w:p>
    <w:p>
      <w:pPr>
        <w:adjustRightInd w:val="0"/>
        <w:snapToGrid w:val="0"/>
        <w:spacing w:line="600" w:lineRule="exact"/>
        <w:ind w:firstLine="640" w:firstLineChars="200"/>
        <w:outlineLvl w:val="2"/>
        <w:rPr>
          <w:rFonts w:hint="default" w:eastAsia="仿宋_GB2312"/>
          <w:sz w:val="32"/>
          <w:szCs w:val="32"/>
          <w:highlight w:val="green"/>
          <w:lang w:val="en-US" w:eastAsia="zh-CN"/>
        </w:rPr>
      </w:pPr>
      <w:r>
        <w:rPr>
          <w:rFonts w:hint="eastAsia" w:eastAsia="仿宋_GB2312"/>
          <w:sz w:val="32"/>
          <w:szCs w:val="32"/>
        </w:rPr>
        <w:t>邵东市</w:t>
      </w:r>
      <w:r>
        <w:rPr>
          <w:rFonts w:hint="eastAsia" w:eastAsia="仿宋_GB2312"/>
          <w:sz w:val="32"/>
          <w:szCs w:val="32"/>
          <w:lang w:val="en-US" w:eastAsia="zh-CN"/>
        </w:rPr>
        <w:t>城市管理和综合执法局</w:t>
      </w:r>
      <w:r>
        <w:rPr>
          <w:rFonts w:eastAsia="仿宋_GB2312"/>
          <w:sz w:val="32"/>
          <w:szCs w:val="32"/>
        </w:rPr>
        <w:t>内设</w:t>
      </w:r>
      <w:r>
        <w:rPr>
          <w:rFonts w:hint="eastAsia" w:eastAsia="仿宋_GB2312"/>
          <w:sz w:val="32"/>
          <w:szCs w:val="32"/>
        </w:rPr>
        <w:t>股室</w:t>
      </w:r>
      <w:r>
        <w:rPr>
          <w:rFonts w:hint="eastAsia" w:eastAsia="仿宋_GB2312"/>
          <w:sz w:val="32"/>
          <w:szCs w:val="32"/>
          <w:lang w:val="en-US" w:eastAsia="zh-CN"/>
        </w:rPr>
        <w:t>11</w:t>
      </w:r>
      <w:r>
        <w:rPr>
          <w:rFonts w:eastAsia="仿宋_GB2312"/>
          <w:sz w:val="32"/>
          <w:szCs w:val="32"/>
        </w:rPr>
        <w:t>个，分别是</w:t>
      </w:r>
      <w:r>
        <w:rPr>
          <w:rFonts w:hint="eastAsia" w:eastAsia="仿宋_GB2312"/>
          <w:sz w:val="32"/>
          <w:szCs w:val="32"/>
          <w:lang w:val="en-US" w:eastAsia="zh-CN"/>
        </w:rPr>
        <w:t>办公室、政工股、政策法规股（加挂行政审批股排子）、财务装备股、督查股、市容和渣土管理股、园林绿化管理股、户外广告管理股、车辆违停股、数字化管理中心（加挂市城市管理应急指挥中心牌子）、协管员管理办公室。</w:t>
      </w:r>
    </w:p>
    <w:p>
      <w:pPr>
        <w:adjustRightInd w:val="0"/>
        <w:snapToGrid w:val="0"/>
        <w:spacing w:line="600" w:lineRule="exact"/>
        <w:ind w:firstLine="640" w:firstLineChars="200"/>
        <w:rPr>
          <w:rFonts w:hint="eastAsia" w:eastAsia="仿宋_GB2312"/>
          <w:b/>
          <w:bCs/>
          <w:sz w:val="32"/>
          <w:szCs w:val="32"/>
          <w:lang w:eastAsia="zh-CN"/>
        </w:rPr>
      </w:pPr>
      <w:r>
        <w:rPr>
          <w:rFonts w:hint="eastAsia" w:eastAsia="仿宋_GB2312"/>
          <w:sz w:val="32"/>
          <w:szCs w:val="32"/>
        </w:rPr>
        <w:t>邵东市</w:t>
      </w:r>
      <w:r>
        <w:rPr>
          <w:rFonts w:hint="eastAsia" w:eastAsia="仿宋_GB2312"/>
          <w:sz w:val="32"/>
          <w:szCs w:val="32"/>
          <w:lang w:val="en-US" w:eastAsia="zh-CN"/>
        </w:rPr>
        <w:t>城市管理和综合执法局</w:t>
      </w:r>
      <w:r>
        <w:rPr>
          <w:rFonts w:eastAsia="仿宋_GB2312"/>
          <w:sz w:val="32"/>
          <w:szCs w:val="32"/>
        </w:rPr>
        <w:t>只有本级</w:t>
      </w:r>
      <w:r>
        <w:rPr>
          <w:rFonts w:hint="eastAsia" w:eastAsia="仿宋_GB2312"/>
          <w:sz w:val="32"/>
          <w:szCs w:val="32"/>
        </w:rPr>
        <w:t>，</w:t>
      </w:r>
      <w:r>
        <w:rPr>
          <w:rFonts w:eastAsia="仿宋_GB2312"/>
          <w:sz w:val="32"/>
          <w:szCs w:val="32"/>
        </w:rPr>
        <w:t>没有其他二级预算单位</w:t>
      </w:r>
      <w:r>
        <w:rPr>
          <w:rFonts w:hint="eastAsia" w:eastAsia="仿宋_GB2312"/>
          <w:sz w:val="32"/>
          <w:szCs w:val="32"/>
        </w:rPr>
        <w:t>，</w:t>
      </w:r>
      <w:r>
        <w:rPr>
          <w:rFonts w:eastAsia="仿宋_GB2312"/>
          <w:sz w:val="32"/>
          <w:szCs w:val="32"/>
        </w:rPr>
        <w:t>因此</w:t>
      </w:r>
      <w:r>
        <w:rPr>
          <w:rFonts w:hint="eastAsia" w:eastAsia="仿宋_GB2312"/>
          <w:sz w:val="32"/>
          <w:szCs w:val="32"/>
        </w:rPr>
        <w:t>，</w:t>
      </w:r>
      <w:r>
        <w:rPr>
          <w:rFonts w:eastAsia="仿宋_GB2312"/>
          <w:sz w:val="32"/>
          <w:szCs w:val="32"/>
        </w:rPr>
        <w:t>纳入</w:t>
      </w:r>
      <w:r>
        <w:rPr>
          <w:rFonts w:hint="eastAsia" w:eastAsia="仿宋_GB2312"/>
          <w:sz w:val="32"/>
          <w:szCs w:val="32"/>
        </w:rPr>
        <w:t>2021年部门预算编制范围的只有邵东市</w:t>
      </w:r>
      <w:r>
        <w:rPr>
          <w:rFonts w:hint="eastAsia" w:eastAsia="仿宋_GB2312"/>
          <w:sz w:val="32"/>
          <w:szCs w:val="32"/>
          <w:lang w:val="en-US" w:eastAsia="zh-CN"/>
        </w:rPr>
        <w:t>城市管理和综合执法局</w:t>
      </w:r>
      <w:r>
        <w:rPr>
          <w:rFonts w:eastAsia="仿宋_GB2312"/>
          <w:sz w:val="32"/>
          <w:szCs w:val="32"/>
        </w:rPr>
        <w:t>本级</w:t>
      </w:r>
      <w:r>
        <w:rPr>
          <w:rFonts w:hint="eastAsia" w:eastAsia="仿宋_GB2312"/>
          <w:sz w:val="32"/>
          <w:szCs w:val="32"/>
        </w:rPr>
        <w:t>。</w:t>
      </w:r>
    </w:p>
    <w:p>
      <w:pPr>
        <w:numPr>
          <w:ilvl w:val="0"/>
          <w:numId w:val="0"/>
        </w:numPr>
        <w:adjustRightInd w:val="0"/>
        <w:snapToGrid w:val="0"/>
        <w:spacing w:line="600" w:lineRule="exact"/>
        <w:ind w:left="630" w:leftChars="0"/>
        <w:outlineLvl w:val="2"/>
        <w:rPr>
          <w:rFonts w:eastAsia="仿宋_GB2312"/>
          <w:b/>
          <w:bCs/>
          <w:sz w:val="32"/>
          <w:szCs w:val="32"/>
          <w:highlight w:val="green"/>
        </w:rPr>
      </w:pPr>
      <w:bookmarkStart w:id="5" w:name="_Toc15988"/>
      <w:r>
        <w:rPr>
          <w:rFonts w:hint="eastAsia" w:eastAsia="仿宋_GB2312"/>
          <w:b/>
          <w:bCs/>
          <w:sz w:val="32"/>
          <w:szCs w:val="32"/>
          <w:lang w:val="en-US" w:eastAsia="zh-CN"/>
        </w:rPr>
        <w:t>3、</w:t>
      </w:r>
      <w:r>
        <w:rPr>
          <w:rFonts w:eastAsia="仿宋_GB2312"/>
          <w:b/>
          <w:bCs/>
          <w:sz w:val="32"/>
          <w:szCs w:val="32"/>
        </w:rPr>
        <w:t>主要职能</w:t>
      </w:r>
      <w:bookmarkEnd w:id="5"/>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负责贯彻执行国家有关城市管理的法律法规，拟订市人民政府加强对城市管理方面的规范性文件；负责全市城市管理的统一规划、协调和督促检查及考核考评工作。</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承担市区城市管理委员会的日常工作；负责数字化城市管理平台建设和管理。</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3</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负责全市城管系统行政、事业性收费管理及专项资金计划、编制和管理。</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4</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负责市城区的市容监察工作。</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5</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负责市城区的城市道路占用、建筑垃圾处置、户外广告设置的审批和管理；</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6</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在市城区行使下列行政处罚权及相应的行政监督检查和行政强制权: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行使市容环境卫生管理方面法律、法规、规章规定的行政处罚权，强制拆除不符合市容市貌标准、环境卫生标准的违法建筑或者设施。</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行使城乡规划方面法律、法规、规章规定的在城市规划区内未取得建设用地规划许可证和建设工程规划许可证进行建设的行政处罚权。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行使城市园林绿化管理方面法律、法规、规章规定的行政处罚权。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行使市政管理方面法律、法规、规章规定的行政处罚权。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行使城市燃气管理方面法律、法规、规章规定的行政处罚权。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使环境保护方面法律、法规、规章规定的部分行政处罚权，主要包括:在市区商业经营活动中使用高音喇叭招揽顾客产生环境噪声污染的；在城区噪音敏感建筑物集中区域内，夜间不按作业时间从事建筑施工作业产生噪声污染的；在城区向水体倾倒废弃物的；在城区人口集中区因焚烧沥青、油毡、橡胶、皮革、垃圾及其他产生有毒有害烟尘和恶臭气体物质的。</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使工商行政管理方面法律、法规、规章规定的对无照商贩，以及有照但不按执照规定场所地经营而进行店外经营、店外作业的商贩的行政处罚权；行使对自产蔬菜和农副产品未进入政府指定地点销售的行政处罚权；行使对违规设置户外广告行为以及对影响市容的破损、残缺广告的所有者或经营者的行政处罚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使城市公安管理方面法律、法规、规章规定的对机动车道以外的车辆乱停乱摆、道路摆摊设点、退房及占道作业等侵占城市道路和公共场地的行政处罚权；行使对城区烟花爆竹燃放管理方面法律、法规、规章规定的行政处罚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行使建筑垃圾处置管理方面法律、法规、规章规定的行政处罚权。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eastAsia="仿宋_GB2312"/>
          <w:sz w:val="32"/>
          <w:szCs w:val="32"/>
        </w:rPr>
      </w:pPr>
      <w:r>
        <w:rPr>
          <w:rFonts w:hint="eastAsia"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承办市人民政府交办的其他事项。</w:t>
      </w:r>
    </w:p>
    <w:p>
      <w:pPr>
        <w:numPr>
          <w:ilvl w:val="0"/>
          <w:numId w:val="0"/>
        </w:numPr>
        <w:adjustRightInd w:val="0"/>
        <w:snapToGrid w:val="0"/>
        <w:spacing w:line="600" w:lineRule="exact"/>
        <w:ind w:left="0" w:leftChars="0" w:firstLine="421" w:firstLineChars="131"/>
        <w:outlineLvl w:val="1"/>
        <w:rPr>
          <w:rFonts w:hint="default" w:eastAsia="楷体"/>
          <w:b/>
          <w:bCs/>
          <w:sz w:val="32"/>
          <w:szCs w:val="32"/>
          <w:lang w:val="en-US" w:eastAsia="zh-CN"/>
        </w:rPr>
      </w:pPr>
      <w:bookmarkStart w:id="6" w:name="_Toc4088"/>
      <w:r>
        <w:rPr>
          <w:rFonts w:hint="eastAsia" w:eastAsia="楷体"/>
          <w:b/>
          <w:bCs/>
          <w:sz w:val="32"/>
          <w:szCs w:val="32"/>
          <w:lang w:eastAsia="zh-CN"/>
        </w:rPr>
        <w:t>（</w:t>
      </w:r>
      <w:r>
        <w:rPr>
          <w:rFonts w:hint="eastAsia" w:eastAsia="楷体"/>
          <w:b/>
          <w:bCs/>
          <w:sz w:val="32"/>
          <w:szCs w:val="32"/>
          <w:lang w:val="en-US" w:eastAsia="zh-CN"/>
        </w:rPr>
        <w:t>二</w:t>
      </w:r>
      <w:r>
        <w:rPr>
          <w:rFonts w:hint="eastAsia" w:eastAsia="楷体"/>
          <w:b/>
          <w:bCs/>
          <w:sz w:val="32"/>
          <w:szCs w:val="32"/>
          <w:lang w:eastAsia="zh-CN"/>
        </w:rPr>
        <w:t>）</w:t>
      </w:r>
      <w:r>
        <w:rPr>
          <w:rFonts w:eastAsia="楷体"/>
          <w:b/>
          <w:bCs/>
          <w:sz w:val="32"/>
          <w:szCs w:val="32"/>
        </w:rPr>
        <w:t>部门整体支出规模、使用方向和主要内容、</w:t>
      </w:r>
      <w:bookmarkEnd w:id="6"/>
      <w:r>
        <w:rPr>
          <w:rFonts w:hint="eastAsia" w:eastAsia="楷体"/>
          <w:b/>
          <w:bCs/>
          <w:sz w:val="32"/>
          <w:szCs w:val="32"/>
          <w:lang w:val="en-US" w:eastAsia="zh-CN"/>
        </w:rPr>
        <w:t>涉及范围等</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b w:val="0"/>
          <w:bCs w:val="0"/>
          <w:sz w:val="32"/>
          <w:szCs w:val="32"/>
          <w:highlight w:val="none"/>
          <w:lang w:val="en-US" w:eastAsia="zh-CN"/>
        </w:rPr>
      </w:pPr>
      <w:bookmarkStart w:id="7" w:name="_Toc24123"/>
      <w:r>
        <w:rPr>
          <w:rFonts w:hint="eastAsia" w:eastAsia="仿宋_GB2312" w:cs="Times New Roman"/>
          <w:b w:val="0"/>
          <w:bCs w:val="0"/>
          <w:sz w:val="32"/>
          <w:szCs w:val="32"/>
          <w:highlight w:val="none"/>
          <w:lang w:val="en-US" w:eastAsia="zh-CN"/>
        </w:rPr>
        <w:t>邵东市城市管理和综合执法局</w:t>
      </w:r>
      <w:r>
        <w:rPr>
          <w:rFonts w:hint="default" w:ascii="Times New Roman" w:hAnsi="Times New Roman" w:eastAsia="仿宋_GB2312" w:cs="Times New Roman"/>
          <w:b w:val="0"/>
          <w:bCs w:val="0"/>
          <w:sz w:val="32"/>
          <w:szCs w:val="32"/>
          <w:highlight w:val="none"/>
          <w:lang w:val="en-US" w:eastAsia="zh-CN"/>
        </w:rPr>
        <w:t>2021年度总收入</w:t>
      </w:r>
      <w:r>
        <w:rPr>
          <w:rFonts w:hint="eastAsia" w:eastAsia="仿宋_GB2312"/>
          <w:sz w:val="32"/>
          <w:szCs w:val="32"/>
          <w:highlight w:val="none"/>
          <w:lang w:val="en-US" w:eastAsia="zh-CN"/>
        </w:rPr>
        <w:t>2939.89</w:t>
      </w:r>
      <w:r>
        <w:rPr>
          <w:rFonts w:hint="default" w:ascii="Times New Roman" w:hAnsi="Times New Roman" w:eastAsia="仿宋_GB2312" w:cs="Times New Roman"/>
          <w:b w:val="0"/>
          <w:bCs w:val="0"/>
          <w:sz w:val="32"/>
          <w:szCs w:val="32"/>
          <w:highlight w:val="none"/>
          <w:lang w:val="en-US" w:eastAsia="zh-CN"/>
        </w:rPr>
        <w:t>万元，其中财政拨款收入</w:t>
      </w:r>
      <w:r>
        <w:rPr>
          <w:rFonts w:hint="eastAsia" w:eastAsia="仿宋_GB2312"/>
          <w:sz w:val="32"/>
          <w:szCs w:val="32"/>
          <w:highlight w:val="none"/>
          <w:lang w:val="en-US" w:eastAsia="zh-CN"/>
        </w:rPr>
        <w:t>2939.89</w:t>
      </w:r>
      <w:r>
        <w:rPr>
          <w:rFonts w:hint="default" w:ascii="Times New Roman" w:hAnsi="Times New Roman" w:eastAsia="仿宋_GB2312" w:cs="Times New Roman"/>
          <w:b w:val="0"/>
          <w:bCs w:val="0"/>
          <w:sz w:val="32"/>
          <w:szCs w:val="32"/>
          <w:highlight w:val="none"/>
          <w:lang w:val="en-US" w:eastAsia="zh-CN"/>
        </w:rPr>
        <w:t>万元</w:t>
      </w:r>
      <w:r>
        <w:rPr>
          <w:rFonts w:hint="eastAsia" w:ascii="Times New Roman" w:hAnsi="Times New Roman" w:eastAsia="仿宋_GB2312" w:cs="Times New Roman"/>
          <w:b w:val="0"/>
          <w:bCs w:val="0"/>
          <w:sz w:val="32"/>
          <w:szCs w:val="32"/>
          <w:highlight w:val="none"/>
          <w:lang w:val="en-US" w:eastAsia="zh-CN"/>
        </w:rPr>
        <w:t>，无</w:t>
      </w:r>
      <w:r>
        <w:rPr>
          <w:rFonts w:hint="default" w:ascii="Times New Roman" w:hAnsi="Times New Roman" w:eastAsia="仿宋_GB2312" w:cs="Times New Roman"/>
          <w:b w:val="0"/>
          <w:bCs w:val="0"/>
          <w:sz w:val="32"/>
          <w:szCs w:val="32"/>
          <w:highlight w:val="none"/>
          <w:lang w:val="en-US" w:eastAsia="zh-CN"/>
        </w:rPr>
        <w:t>其他收入。</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邵东市城市管理和综合执法局</w:t>
      </w:r>
      <w:r>
        <w:rPr>
          <w:rFonts w:hint="default" w:ascii="Times New Roman" w:hAnsi="Times New Roman" w:eastAsia="仿宋_GB2312" w:cs="Times New Roman"/>
          <w:b w:val="0"/>
          <w:bCs w:val="0"/>
          <w:sz w:val="32"/>
          <w:szCs w:val="32"/>
          <w:highlight w:val="none"/>
          <w:lang w:val="en-US" w:eastAsia="zh-CN"/>
        </w:rPr>
        <w:t>2021年度总支出</w:t>
      </w:r>
      <w:r>
        <w:rPr>
          <w:rFonts w:hint="eastAsia" w:eastAsia="仿宋_GB2312"/>
          <w:sz w:val="32"/>
          <w:szCs w:val="32"/>
          <w:highlight w:val="none"/>
          <w:lang w:val="en-US" w:eastAsia="zh-CN"/>
        </w:rPr>
        <w:t>2939.89</w:t>
      </w:r>
      <w:r>
        <w:rPr>
          <w:rFonts w:hint="default" w:ascii="Times New Roman" w:hAnsi="Times New Roman" w:eastAsia="仿宋_GB2312" w:cs="Times New Roman"/>
          <w:b w:val="0"/>
          <w:bCs w:val="0"/>
          <w:sz w:val="32"/>
          <w:szCs w:val="32"/>
          <w:highlight w:val="none"/>
          <w:lang w:val="en-US" w:eastAsia="zh-CN"/>
        </w:rPr>
        <w:t>万元，其中基本支出</w:t>
      </w:r>
      <w:r>
        <w:rPr>
          <w:rFonts w:hint="eastAsia" w:eastAsia="仿宋_GB2312"/>
          <w:sz w:val="32"/>
          <w:szCs w:val="32"/>
          <w:highlight w:val="none"/>
          <w:lang w:val="en-US" w:eastAsia="zh-CN"/>
        </w:rPr>
        <w:t>1223.00</w:t>
      </w:r>
      <w:r>
        <w:rPr>
          <w:rFonts w:hint="default" w:ascii="Times New Roman" w:hAnsi="Times New Roman" w:eastAsia="仿宋_GB2312" w:cs="Times New Roman"/>
          <w:b w:val="0"/>
          <w:bCs w:val="0"/>
          <w:sz w:val="32"/>
          <w:szCs w:val="32"/>
          <w:highlight w:val="none"/>
          <w:lang w:val="en-US" w:eastAsia="zh-CN"/>
        </w:rPr>
        <w:t>万元</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项目支出</w:t>
      </w:r>
      <w:r>
        <w:rPr>
          <w:rFonts w:hint="eastAsia" w:eastAsia="仿宋_GB2312"/>
          <w:sz w:val="32"/>
          <w:szCs w:val="32"/>
          <w:highlight w:val="none"/>
          <w:lang w:val="en-US" w:eastAsia="zh-CN"/>
        </w:rPr>
        <w:t>1716.90</w:t>
      </w:r>
      <w:r>
        <w:rPr>
          <w:rFonts w:hint="default" w:ascii="Times New Roman" w:hAnsi="Times New Roman" w:eastAsia="仿宋_GB2312" w:cs="Times New Roman"/>
          <w:b w:val="0"/>
          <w:bCs w:val="0"/>
          <w:sz w:val="32"/>
          <w:szCs w:val="32"/>
          <w:highlight w:val="none"/>
          <w:lang w:val="en-US" w:eastAsia="zh-CN"/>
        </w:rPr>
        <w:t>万元</w:t>
      </w:r>
      <w:r>
        <w:rPr>
          <w:rFonts w:hint="eastAsia" w:ascii="Times New Roman" w:hAnsi="Times New Roman" w:eastAsia="仿宋_GB2312" w:cs="Times New Roman"/>
          <w:b w:val="0"/>
          <w:bCs w:val="0"/>
          <w:sz w:val="32"/>
          <w:szCs w:val="32"/>
          <w:highlight w:val="none"/>
          <w:lang w:val="en-US" w:eastAsia="zh-CN"/>
        </w:rPr>
        <w:t>。</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部门整体支出具体使用方向如下：</w:t>
      </w: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highlight w:val="none"/>
          <w:lang w:val="en-US" w:eastAsia="zh-CN"/>
        </w:rPr>
      </w:pPr>
    </w:p>
    <w:p>
      <w:pPr>
        <w:pStyle w:val="2"/>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2021年度部门整体支出</w:t>
      </w:r>
      <w:r>
        <w:rPr>
          <w:rFonts w:hint="eastAsia" w:eastAsia="仿宋" w:cs="Times New Roman"/>
          <w:b/>
          <w:bCs/>
          <w:sz w:val="24"/>
          <w:szCs w:val="24"/>
          <w:highlight w:val="none"/>
          <w:lang w:val="en-US" w:eastAsia="zh-CN"/>
        </w:rPr>
        <w:t>使用方向</w:t>
      </w:r>
      <w:r>
        <w:rPr>
          <w:rFonts w:hint="default" w:ascii="Times New Roman" w:hAnsi="Times New Roman" w:eastAsia="仿宋" w:cs="Times New Roman"/>
          <w:b/>
          <w:bCs/>
          <w:sz w:val="24"/>
          <w:szCs w:val="24"/>
          <w:highlight w:val="none"/>
          <w:lang w:val="en-US" w:eastAsia="zh-CN"/>
        </w:rPr>
        <w:t>统计表</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096"/>
        <w:gridCol w:w="1550"/>
        <w:gridCol w:w="1440"/>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序号</w:t>
            </w:r>
          </w:p>
        </w:tc>
        <w:tc>
          <w:tcPr>
            <w:tcW w:w="18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w:t>
            </w:r>
          </w:p>
        </w:tc>
        <w:tc>
          <w:tcPr>
            <w:tcW w:w="27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支出金额（万元）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基本支出</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1</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工资福利费用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1062.28</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138.89</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1201.17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2</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商品和服务费用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153.41</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1519.73</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1673.14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其中：公务接待费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0.32</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 xml:space="preserve">      公务用车运行维护费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sz w:val="24"/>
                <w:szCs w:val="24"/>
                <w:highlight w:val="none"/>
                <w:lang w:val="en-US" w:eastAsia="zh-CN"/>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 xml:space="preserve">      因公出国（境)费用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sz w:val="24"/>
                <w:szCs w:val="24"/>
                <w:highlight w:val="none"/>
                <w:lang w:val="en-US" w:eastAsia="zh-CN"/>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3</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对个人和家庭的补助费用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2.82</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58.28</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4</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资本性支出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4.49</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4"/>
                <w:szCs w:val="24"/>
                <w:highlight w:val="none"/>
                <w:u w:val="none"/>
              </w:rPr>
            </w:pP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1223</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1716.9</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2939.89</w:t>
            </w:r>
          </w:p>
        </w:tc>
      </w:tr>
    </w:tbl>
    <w:p>
      <w:pPr>
        <w:numPr>
          <w:ilvl w:val="0"/>
          <w:numId w:val="0"/>
        </w:numPr>
        <w:adjustRightInd w:val="0"/>
        <w:snapToGrid w:val="0"/>
        <w:spacing w:line="600" w:lineRule="exact"/>
        <w:ind w:firstLine="640" w:firstLineChars="200"/>
        <w:rPr>
          <w:highlight w:val="none"/>
        </w:rPr>
      </w:pPr>
      <w:r>
        <w:rPr>
          <w:rFonts w:hint="default" w:ascii="Times New Roman" w:hAnsi="Times New Roman" w:eastAsia="仿宋_GB2312" w:cs="Times New Roman"/>
          <w:b w:val="0"/>
          <w:bCs w:val="0"/>
          <w:sz w:val="32"/>
          <w:szCs w:val="32"/>
          <w:highlight w:val="none"/>
          <w:lang w:val="en-US" w:eastAsia="zh-CN"/>
        </w:rPr>
        <w:t>经现场查阅支付记录显示：上表中</w:t>
      </w:r>
      <w:r>
        <w:rPr>
          <w:rFonts w:hint="eastAsia" w:eastAsia="仿宋_GB2312" w:cs="Times New Roman"/>
          <w:b w:val="0"/>
          <w:bCs w:val="0"/>
          <w:sz w:val="32"/>
          <w:szCs w:val="32"/>
          <w:highlight w:val="none"/>
          <w:lang w:val="en-US" w:eastAsia="zh-CN"/>
        </w:rPr>
        <w:t>的</w:t>
      </w:r>
      <w:r>
        <w:rPr>
          <w:rFonts w:hint="default" w:ascii="Times New Roman" w:hAnsi="Times New Roman" w:eastAsia="仿宋_GB2312" w:cs="Times New Roman"/>
          <w:b w:val="0"/>
          <w:bCs w:val="0"/>
          <w:sz w:val="32"/>
          <w:szCs w:val="32"/>
          <w:highlight w:val="none"/>
          <w:lang w:val="en-US" w:eastAsia="zh-CN"/>
        </w:rPr>
        <w:t>工资福利支出</w:t>
      </w:r>
      <w:r>
        <w:rPr>
          <w:rFonts w:hint="eastAsia" w:eastAsia="仿宋_GB2312" w:cs="Times New Roman"/>
          <w:b w:val="0"/>
          <w:bCs w:val="0"/>
          <w:sz w:val="32"/>
          <w:szCs w:val="32"/>
          <w:highlight w:val="none"/>
          <w:lang w:val="en-US" w:eastAsia="zh-CN"/>
        </w:rPr>
        <w:t>1201.17万元</w:t>
      </w:r>
      <w:r>
        <w:rPr>
          <w:rFonts w:hint="default" w:ascii="Times New Roman" w:hAnsi="Times New Roman" w:eastAsia="仿宋_GB2312" w:cs="Times New Roman"/>
          <w:b w:val="0"/>
          <w:bCs w:val="0"/>
          <w:sz w:val="32"/>
          <w:szCs w:val="32"/>
          <w:highlight w:val="none"/>
          <w:lang w:val="en-US" w:eastAsia="zh-CN"/>
        </w:rPr>
        <w:t>：主要用于支付职工工资、津补贴及缴纳五险一金；商品和服务支出</w:t>
      </w:r>
      <w:r>
        <w:rPr>
          <w:rFonts w:hint="eastAsia" w:eastAsia="仿宋_GB2312" w:cs="Times New Roman"/>
          <w:b w:val="0"/>
          <w:bCs w:val="0"/>
          <w:sz w:val="32"/>
          <w:szCs w:val="32"/>
          <w:highlight w:val="none"/>
          <w:lang w:val="en-US" w:eastAsia="zh-CN"/>
        </w:rPr>
        <w:t>1673.14万元</w:t>
      </w:r>
      <w:r>
        <w:rPr>
          <w:rFonts w:hint="default" w:ascii="Times New Roman" w:hAnsi="Times New Roman" w:eastAsia="仿宋_GB2312" w:cs="Times New Roman"/>
          <w:b w:val="0"/>
          <w:bCs w:val="0"/>
          <w:sz w:val="32"/>
          <w:szCs w:val="32"/>
          <w:highlight w:val="none"/>
          <w:lang w:val="en-US" w:eastAsia="zh-CN"/>
        </w:rPr>
        <w:t>：主要用于支付物业管理费、职工车补、工会经费等日常办公费用以及开展</w:t>
      </w:r>
      <w:r>
        <w:rPr>
          <w:rFonts w:hint="eastAsia" w:eastAsia="仿宋_GB2312" w:cs="Times New Roman"/>
          <w:b w:val="0"/>
          <w:bCs w:val="0"/>
          <w:sz w:val="32"/>
          <w:szCs w:val="32"/>
          <w:highlight w:val="none"/>
          <w:lang w:val="en-US" w:eastAsia="zh-CN"/>
        </w:rPr>
        <w:t>司法</w:t>
      </w:r>
      <w:r>
        <w:rPr>
          <w:rFonts w:hint="default" w:ascii="Times New Roman" w:hAnsi="Times New Roman" w:eastAsia="仿宋_GB2312" w:cs="Times New Roman"/>
          <w:b w:val="0"/>
          <w:bCs w:val="0"/>
          <w:sz w:val="32"/>
          <w:szCs w:val="32"/>
          <w:highlight w:val="none"/>
          <w:lang w:val="en-US" w:eastAsia="zh-CN"/>
        </w:rPr>
        <w:t>工作所产生的差旅费、租车费及相关办公开支；对个人和家庭的补助</w:t>
      </w:r>
      <w:r>
        <w:rPr>
          <w:rFonts w:hint="eastAsia" w:eastAsia="仿宋_GB2312" w:cs="Times New Roman"/>
          <w:b w:val="0"/>
          <w:bCs w:val="0"/>
          <w:sz w:val="32"/>
          <w:szCs w:val="32"/>
          <w:highlight w:val="none"/>
          <w:lang w:val="en-US" w:eastAsia="zh-CN"/>
        </w:rPr>
        <w:t>61.10万元</w:t>
      </w:r>
      <w:r>
        <w:rPr>
          <w:rFonts w:hint="default" w:ascii="Times New Roman" w:hAnsi="Times New Roman" w:eastAsia="仿宋_GB2312" w:cs="Times New Roman"/>
          <w:b w:val="0"/>
          <w:bCs w:val="0"/>
          <w:sz w:val="32"/>
          <w:szCs w:val="32"/>
          <w:highlight w:val="none"/>
          <w:lang w:val="en-US" w:eastAsia="zh-CN"/>
        </w:rPr>
        <w:t>：主要用于发放死亡抚恤金、退休职工生活补助及支付职工体检费；资本性支出</w:t>
      </w:r>
      <w:r>
        <w:rPr>
          <w:rFonts w:hint="eastAsia" w:eastAsia="仿宋_GB2312" w:cs="Times New Roman"/>
          <w:b w:val="0"/>
          <w:bCs w:val="0"/>
          <w:sz w:val="32"/>
          <w:szCs w:val="32"/>
          <w:highlight w:val="none"/>
          <w:lang w:val="en-US" w:eastAsia="zh-CN"/>
        </w:rPr>
        <w:t>4.49万元</w:t>
      </w:r>
      <w:r>
        <w:rPr>
          <w:rFonts w:hint="default" w:ascii="Times New Roman" w:hAnsi="Times New Roman" w:eastAsia="仿宋_GB2312" w:cs="Times New Roman"/>
          <w:b w:val="0"/>
          <w:bCs w:val="0"/>
          <w:sz w:val="32"/>
          <w:szCs w:val="32"/>
          <w:highlight w:val="none"/>
          <w:lang w:val="en-US" w:eastAsia="zh-CN"/>
        </w:rPr>
        <w:t>：主要用于支付办公楼附属工程款、弱电与网络（金审）工程款、基建工程相关费用</w:t>
      </w:r>
      <w:r>
        <w:rPr>
          <w:rFonts w:hint="eastAsia" w:eastAsia="仿宋_GB2312" w:cs="Times New Roman"/>
          <w:b w:val="0"/>
          <w:bCs w:val="0"/>
          <w:sz w:val="32"/>
          <w:szCs w:val="32"/>
          <w:highlight w:val="none"/>
          <w:lang w:val="en-US" w:eastAsia="zh-CN"/>
        </w:rPr>
        <w:t>及购置用餐家具、办公设备</w:t>
      </w:r>
      <w:r>
        <w:rPr>
          <w:rFonts w:hint="default" w:ascii="Times New Roman" w:hAnsi="Times New Roman" w:eastAsia="仿宋_GB2312" w:cs="Times New Roman"/>
          <w:b w:val="0"/>
          <w:bCs w:val="0"/>
          <w:sz w:val="32"/>
          <w:szCs w:val="32"/>
          <w:highlight w:val="none"/>
          <w:lang w:val="en-US" w:eastAsia="zh-CN"/>
        </w:rPr>
        <w:t>。</w:t>
      </w:r>
    </w:p>
    <w:p>
      <w:pPr>
        <w:adjustRightInd w:val="0"/>
        <w:snapToGrid w:val="0"/>
        <w:spacing w:line="600" w:lineRule="exact"/>
        <w:ind w:firstLine="640" w:firstLineChars="200"/>
        <w:outlineLvl w:val="0"/>
        <w:rPr>
          <w:rFonts w:eastAsia="黑体"/>
          <w:sz w:val="32"/>
          <w:szCs w:val="32"/>
          <w:highlight w:val="none"/>
        </w:rPr>
      </w:pPr>
      <w:r>
        <w:rPr>
          <w:rFonts w:eastAsia="黑体"/>
          <w:sz w:val="32"/>
          <w:szCs w:val="32"/>
          <w:highlight w:val="none"/>
        </w:rPr>
        <w:t>二、部门整体支出管理及使用情况</w:t>
      </w:r>
      <w:bookmarkEnd w:id="7"/>
    </w:p>
    <w:p>
      <w:pPr>
        <w:adjustRightInd w:val="0"/>
        <w:snapToGrid w:val="0"/>
        <w:spacing w:line="600" w:lineRule="exact"/>
        <w:ind w:firstLine="643" w:firstLineChars="200"/>
        <w:outlineLvl w:val="1"/>
        <w:rPr>
          <w:rFonts w:eastAsia="楷体_GB2312"/>
          <w:b/>
          <w:sz w:val="32"/>
          <w:szCs w:val="32"/>
          <w:highlight w:val="none"/>
        </w:rPr>
      </w:pPr>
      <w:bookmarkStart w:id="8" w:name="_Toc17657"/>
      <w:r>
        <w:rPr>
          <w:rFonts w:eastAsia="楷体_GB2312"/>
          <w:b/>
          <w:sz w:val="32"/>
          <w:szCs w:val="32"/>
          <w:highlight w:val="none"/>
        </w:rPr>
        <w:t>（一）预算执行、使用、管理总体情况。</w:t>
      </w:r>
      <w:bookmarkEnd w:id="8"/>
    </w:p>
    <w:p>
      <w:pPr>
        <w:numPr>
          <w:ilvl w:val="0"/>
          <w:numId w:val="0"/>
        </w:numPr>
        <w:adjustRightInd w:val="0"/>
        <w:snapToGrid w:val="0"/>
        <w:spacing w:line="600" w:lineRule="exact"/>
        <w:ind w:left="630" w:leftChars="0"/>
        <w:outlineLvl w:val="2"/>
        <w:rPr>
          <w:rFonts w:eastAsia="华文仿宋"/>
          <w:b/>
          <w:bCs/>
          <w:color w:val="auto"/>
          <w:sz w:val="32"/>
          <w:szCs w:val="32"/>
          <w:highlight w:val="none"/>
          <w:shd w:val="clear" w:color="auto" w:fill="FFFFFF"/>
        </w:rPr>
      </w:pPr>
      <w:bookmarkStart w:id="9" w:name="_Toc6683"/>
      <w:r>
        <w:rPr>
          <w:rFonts w:eastAsia="华文仿宋"/>
          <w:b w:val="0"/>
          <w:bCs w:val="0"/>
          <w:color w:val="auto"/>
          <w:sz w:val="32"/>
          <w:szCs w:val="32"/>
          <w:highlight w:val="none"/>
          <w:shd w:val="clear" w:color="auto" w:fill="FFFFFF"/>
        </w:rPr>
        <w:t>1、</w:t>
      </w:r>
      <w:r>
        <w:rPr>
          <w:rFonts w:hint="eastAsia" w:eastAsia="华文仿宋"/>
          <w:b/>
          <w:bCs/>
          <w:color w:val="auto"/>
          <w:sz w:val="32"/>
          <w:szCs w:val="32"/>
          <w:highlight w:val="none"/>
          <w:shd w:val="clear" w:color="auto" w:fill="FFFFFF"/>
        </w:rPr>
        <w:t>预算执行</w:t>
      </w:r>
      <w:r>
        <w:rPr>
          <w:rFonts w:eastAsia="华文仿宋"/>
          <w:b/>
          <w:bCs/>
          <w:color w:val="auto"/>
          <w:sz w:val="32"/>
          <w:szCs w:val="32"/>
          <w:highlight w:val="none"/>
          <w:shd w:val="clear" w:color="auto" w:fill="FFFFFF"/>
        </w:rPr>
        <w:t>总体情况</w:t>
      </w:r>
      <w:bookmarkEnd w:id="9"/>
    </w:p>
    <w:p>
      <w:pPr>
        <w:numPr>
          <w:ilvl w:val="0"/>
          <w:numId w:val="0"/>
        </w:numPr>
        <w:adjustRightInd w:val="0"/>
        <w:snapToGrid w:val="0"/>
        <w:spacing w:line="600" w:lineRule="exact"/>
        <w:ind w:firstLine="640" w:firstLineChars="200"/>
      </w:pPr>
      <w:r>
        <w:rPr>
          <w:rFonts w:hint="eastAsia" w:ascii="仿宋" w:hAnsi="仿宋" w:eastAsia="仿宋" w:cs="仿宋"/>
          <w:color w:val="000000"/>
          <w:kern w:val="0"/>
          <w:sz w:val="32"/>
          <w:szCs w:val="32"/>
          <w:highlight w:val="none"/>
          <w:lang w:val="en-US" w:eastAsia="zh-CN"/>
        </w:rPr>
        <w:t>2021年邵东市城市管理和综合执法局年初收入预算数为</w:t>
      </w:r>
      <w:r>
        <w:rPr>
          <w:rFonts w:hint="eastAsia" w:eastAsia="仿宋_GB2312"/>
          <w:sz w:val="32"/>
          <w:szCs w:val="32"/>
          <w:highlight w:val="none"/>
          <w:lang w:val="en-US" w:eastAsia="zh-CN"/>
        </w:rPr>
        <w:t>2729.30</w:t>
      </w:r>
      <w:r>
        <w:rPr>
          <w:rFonts w:hint="eastAsia" w:ascii="仿宋" w:hAnsi="仿宋" w:eastAsia="仿宋" w:cs="仿宋"/>
          <w:color w:val="000000"/>
          <w:kern w:val="0"/>
          <w:sz w:val="32"/>
          <w:szCs w:val="32"/>
          <w:highlight w:val="none"/>
          <w:lang w:val="en-US" w:eastAsia="zh-CN"/>
        </w:rPr>
        <w:t>万元，全年收入决算数为</w:t>
      </w:r>
      <w:r>
        <w:rPr>
          <w:rFonts w:hint="eastAsia" w:eastAsia="仿宋_GB2312"/>
          <w:sz w:val="32"/>
          <w:szCs w:val="32"/>
          <w:highlight w:val="none"/>
          <w:lang w:val="en-US" w:eastAsia="zh-CN"/>
        </w:rPr>
        <w:t>2939.89</w:t>
      </w:r>
      <w:r>
        <w:rPr>
          <w:rFonts w:hint="eastAsia" w:ascii="仿宋" w:hAnsi="仿宋" w:eastAsia="仿宋" w:cs="仿宋"/>
          <w:color w:val="000000"/>
          <w:kern w:val="0"/>
          <w:sz w:val="32"/>
          <w:szCs w:val="32"/>
          <w:highlight w:val="none"/>
          <w:lang w:val="en-US" w:eastAsia="zh-CN"/>
        </w:rPr>
        <w:t>万元，（其中一般公共预算财政拨款收入</w:t>
      </w:r>
      <w:r>
        <w:rPr>
          <w:rFonts w:hint="eastAsia" w:eastAsia="仿宋_GB2312"/>
          <w:sz w:val="32"/>
          <w:szCs w:val="32"/>
          <w:highlight w:val="none"/>
          <w:lang w:val="en-US" w:eastAsia="zh-CN"/>
        </w:rPr>
        <w:t>2939.89</w:t>
      </w:r>
      <w:r>
        <w:rPr>
          <w:rFonts w:hint="eastAsia" w:ascii="仿宋" w:hAnsi="仿宋" w:eastAsia="仿宋" w:cs="仿宋"/>
          <w:color w:val="000000"/>
          <w:kern w:val="0"/>
          <w:sz w:val="32"/>
          <w:szCs w:val="32"/>
          <w:highlight w:val="none"/>
          <w:lang w:val="en-US" w:eastAsia="zh-CN"/>
        </w:rPr>
        <w:t>万元）；全年支出决算数为</w:t>
      </w:r>
      <w:r>
        <w:rPr>
          <w:rFonts w:hint="eastAsia" w:eastAsia="仿宋_GB2312"/>
          <w:sz w:val="32"/>
          <w:szCs w:val="32"/>
          <w:highlight w:val="none"/>
          <w:lang w:val="en-US" w:eastAsia="zh-CN"/>
        </w:rPr>
        <w:t>2939.89</w:t>
      </w:r>
      <w:r>
        <w:rPr>
          <w:rFonts w:hint="eastAsia" w:ascii="仿宋" w:hAnsi="仿宋" w:eastAsia="仿宋" w:cs="仿宋"/>
          <w:color w:val="000000"/>
          <w:kern w:val="0"/>
          <w:sz w:val="32"/>
          <w:szCs w:val="32"/>
          <w:highlight w:val="none"/>
          <w:lang w:val="en-US" w:eastAsia="zh-CN"/>
        </w:rPr>
        <w:t>万元，</w:t>
      </w:r>
      <w:r>
        <w:rPr>
          <w:rFonts w:hint="eastAsia" w:ascii="Times New Roman" w:hAnsi="Times New Roman" w:eastAsia="仿宋_GB2312" w:cs="Times New Roman"/>
          <w:b w:val="0"/>
          <w:bCs w:val="0"/>
          <w:sz w:val="32"/>
          <w:szCs w:val="32"/>
          <w:highlight w:val="none"/>
          <w:lang w:val="en-US" w:eastAsia="zh-CN"/>
        </w:rPr>
        <w:t>（其中：基本支出</w:t>
      </w:r>
      <w:r>
        <w:rPr>
          <w:rFonts w:hint="eastAsia" w:eastAsia="仿宋_GB2312"/>
          <w:sz w:val="32"/>
          <w:szCs w:val="32"/>
          <w:highlight w:val="none"/>
          <w:lang w:val="en-US" w:eastAsia="zh-CN"/>
        </w:rPr>
        <w:t>1223.00</w:t>
      </w:r>
      <w:r>
        <w:rPr>
          <w:rFonts w:hint="eastAsia" w:ascii="Times New Roman" w:hAnsi="Times New Roman" w:eastAsia="仿宋_GB2312" w:cs="Times New Roman"/>
          <w:b w:val="0"/>
          <w:bCs w:val="0"/>
          <w:sz w:val="32"/>
          <w:szCs w:val="32"/>
          <w:highlight w:val="none"/>
          <w:lang w:val="en-US" w:eastAsia="zh-CN"/>
        </w:rPr>
        <w:t>万元、项目支出</w:t>
      </w:r>
      <w:r>
        <w:rPr>
          <w:rFonts w:hint="eastAsia" w:eastAsia="仿宋_GB2312"/>
          <w:sz w:val="32"/>
          <w:szCs w:val="32"/>
          <w:highlight w:val="none"/>
          <w:lang w:val="en-US" w:eastAsia="zh-CN"/>
        </w:rPr>
        <w:t>1716.90</w:t>
      </w:r>
      <w:r>
        <w:rPr>
          <w:rFonts w:hint="eastAsia" w:ascii="Times New Roman" w:hAnsi="Times New Roman" w:eastAsia="仿宋_GB2312" w:cs="Times New Roman"/>
          <w:b w:val="0"/>
          <w:bCs w:val="0"/>
          <w:sz w:val="32"/>
          <w:szCs w:val="32"/>
          <w:highlight w:val="none"/>
          <w:lang w:val="en-US" w:eastAsia="zh-CN"/>
        </w:rPr>
        <w:t>万元）</w:t>
      </w:r>
      <w:r>
        <w:rPr>
          <w:rFonts w:hint="default" w:ascii="Times New Roman" w:hAnsi="Times New Roman" w:eastAsia="仿宋_GB2312" w:cs="Times New Roman"/>
          <w:b w:val="0"/>
          <w:bCs w:val="0"/>
          <w:sz w:val="32"/>
          <w:szCs w:val="32"/>
          <w:highlight w:val="none"/>
          <w:lang w:val="en-US" w:eastAsia="zh-CN"/>
        </w:rPr>
        <w:t>，预算执行率为</w:t>
      </w:r>
      <w:r>
        <w:rPr>
          <w:rFonts w:hint="eastAsia" w:eastAsia="仿宋_GB2312" w:cs="Times New Roman"/>
          <w:b w:val="0"/>
          <w:bCs w:val="0"/>
          <w:sz w:val="32"/>
          <w:szCs w:val="32"/>
          <w:highlight w:val="none"/>
          <w:lang w:val="en-US" w:eastAsia="zh-CN"/>
        </w:rPr>
        <w:t>100.00</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仿宋" w:hAnsi="仿宋" w:eastAsia="仿宋" w:cs="仿宋"/>
          <w:color w:val="000000"/>
          <w:kern w:val="0"/>
          <w:sz w:val="32"/>
          <w:szCs w:val="32"/>
          <w:highlight w:val="none"/>
          <w:lang w:val="en-US" w:eastAsia="zh-CN"/>
        </w:rPr>
        <w:t>年末财政拨款结转和结余决算数为</w:t>
      </w:r>
      <w:r>
        <w:rPr>
          <w:rFonts w:hint="eastAsia" w:eastAsia="仿宋_GB2312" w:cs="Times New Roman"/>
          <w:b w:val="0"/>
          <w:bCs w:val="0"/>
          <w:sz w:val="32"/>
          <w:szCs w:val="32"/>
          <w:highlight w:val="none"/>
          <w:lang w:val="en-US" w:eastAsia="zh-CN"/>
        </w:rPr>
        <w:t>0万元</w:t>
      </w:r>
      <w:r>
        <w:rPr>
          <w:rFonts w:hint="eastAsia" w:ascii="仿宋" w:hAnsi="仿宋" w:eastAsia="仿宋" w:cs="仿宋"/>
          <w:color w:val="000000"/>
          <w:kern w:val="0"/>
          <w:sz w:val="32"/>
          <w:szCs w:val="32"/>
          <w:highlight w:val="none"/>
          <w:lang w:val="en-US" w:eastAsia="zh-CN"/>
        </w:rPr>
        <w:t>。</w:t>
      </w:r>
    </w:p>
    <w:p>
      <w:pPr>
        <w:numPr>
          <w:ilvl w:val="0"/>
          <w:numId w:val="1"/>
        </w:numPr>
        <w:adjustRightInd w:val="0"/>
        <w:snapToGrid w:val="0"/>
        <w:spacing w:line="600" w:lineRule="exact"/>
        <w:ind w:left="-11" w:leftChars="0" w:firstLine="641" w:firstLineChars="0"/>
        <w:outlineLvl w:val="2"/>
        <w:rPr>
          <w:rFonts w:eastAsia="仿宋_GB2312"/>
          <w:color w:val="auto"/>
          <w:sz w:val="32"/>
          <w:szCs w:val="32"/>
        </w:rPr>
      </w:pPr>
      <w:bookmarkStart w:id="10" w:name="_Toc17619"/>
      <w:r>
        <w:rPr>
          <w:rFonts w:eastAsia="华文仿宋"/>
          <w:b/>
          <w:bCs/>
          <w:color w:val="auto"/>
          <w:sz w:val="32"/>
          <w:szCs w:val="32"/>
          <w:shd w:val="clear" w:color="auto" w:fill="FFFFFF"/>
        </w:rPr>
        <w:t>基本支出情况</w:t>
      </w:r>
      <w:bookmarkEnd w:id="10"/>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eastAsia"/>
        </w:rPr>
      </w:pPr>
      <w:r>
        <w:rPr>
          <w:rFonts w:hint="default" w:ascii="Times New Roman" w:hAnsi="Times New Roman" w:eastAsia="仿宋" w:cs="Times New Roman"/>
          <w:b w:val="0"/>
          <w:bCs/>
          <w:sz w:val="32"/>
          <w:szCs w:val="32"/>
          <w:highlight w:val="none"/>
          <w:lang w:val="en-US" w:eastAsia="zh-CN"/>
        </w:rPr>
        <w:t>2021年</w:t>
      </w:r>
      <w:r>
        <w:rPr>
          <w:rFonts w:hint="eastAsia" w:ascii="仿宋" w:hAnsi="仿宋" w:eastAsia="仿宋" w:cs="仿宋"/>
          <w:color w:val="000000"/>
          <w:kern w:val="0"/>
          <w:sz w:val="32"/>
          <w:szCs w:val="32"/>
          <w:highlight w:val="none"/>
          <w:lang w:val="en-US" w:eastAsia="zh-CN"/>
        </w:rPr>
        <w:t>邵东市城市管理和综合执法局</w:t>
      </w:r>
      <w:r>
        <w:rPr>
          <w:rFonts w:hint="eastAsia" w:ascii="Times New Roman" w:hAnsi="Times New Roman" w:eastAsia="仿宋" w:cs="Times New Roman"/>
          <w:b w:val="0"/>
          <w:bCs/>
          <w:sz w:val="32"/>
          <w:szCs w:val="32"/>
          <w:highlight w:val="none"/>
          <w:lang w:val="en-US" w:eastAsia="zh-CN"/>
        </w:rPr>
        <w:t>经财政批复</w:t>
      </w:r>
      <w:r>
        <w:rPr>
          <w:rFonts w:hint="eastAsia" w:eastAsia="仿宋" w:cs="Times New Roman"/>
          <w:b w:val="0"/>
          <w:bCs/>
          <w:sz w:val="32"/>
          <w:szCs w:val="32"/>
          <w:highlight w:val="none"/>
          <w:lang w:val="en-US" w:eastAsia="zh-CN"/>
        </w:rPr>
        <w:t>基本</w:t>
      </w:r>
      <w:r>
        <w:rPr>
          <w:rFonts w:hint="eastAsia" w:ascii="Times New Roman" w:hAnsi="Times New Roman" w:eastAsia="仿宋" w:cs="Times New Roman"/>
          <w:b w:val="0"/>
          <w:bCs/>
          <w:sz w:val="32"/>
          <w:szCs w:val="32"/>
          <w:highlight w:val="none"/>
          <w:lang w:val="en-US" w:eastAsia="zh-CN"/>
        </w:rPr>
        <w:t>支出预算为</w:t>
      </w:r>
      <w:r>
        <w:rPr>
          <w:rFonts w:hint="eastAsia" w:eastAsia="仿宋"/>
          <w:bCs/>
          <w:color w:val="auto"/>
          <w:sz w:val="32"/>
          <w:szCs w:val="32"/>
          <w:lang w:val="en-US" w:eastAsia="zh-CN"/>
        </w:rPr>
        <w:t>1223.00</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（其中：</w:t>
      </w:r>
      <w:r>
        <w:rPr>
          <w:rFonts w:hint="default" w:ascii="Times New Roman" w:hAnsi="Times New Roman" w:eastAsia="仿宋" w:cs="Times New Roman"/>
          <w:b w:val="0"/>
          <w:bCs/>
          <w:sz w:val="32"/>
          <w:szCs w:val="32"/>
          <w:highlight w:val="none"/>
          <w:lang w:val="en-US" w:eastAsia="zh-CN"/>
        </w:rPr>
        <w:t>年初预算</w:t>
      </w:r>
      <w:r>
        <w:rPr>
          <w:rFonts w:hint="eastAsia" w:eastAsia="仿宋" w:cs="Times New Roman"/>
          <w:b w:val="0"/>
          <w:bCs/>
          <w:sz w:val="32"/>
          <w:szCs w:val="32"/>
          <w:highlight w:val="none"/>
          <w:lang w:val="en-US" w:eastAsia="zh-CN"/>
        </w:rPr>
        <w:t>911.70</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年中追加</w:t>
      </w:r>
      <w:r>
        <w:rPr>
          <w:rFonts w:hint="eastAsia" w:eastAsia="仿宋" w:cs="Times New Roman"/>
          <w:b w:val="0"/>
          <w:bCs/>
          <w:sz w:val="32"/>
          <w:szCs w:val="32"/>
          <w:highlight w:val="none"/>
          <w:lang w:val="en-US" w:eastAsia="zh-CN"/>
        </w:rPr>
        <w:t>311.30</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基本</w:t>
      </w:r>
      <w:r>
        <w:rPr>
          <w:rFonts w:hint="default" w:ascii="Times New Roman" w:hAnsi="Times New Roman" w:eastAsia="仿宋" w:cs="Times New Roman"/>
          <w:b w:val="0"/>
          <w:bCs/>
          <w:sz w:val="32"/>
          <w:szCs w:val="32"/>
          <w:highlight w:val="none"/>
          <w:lang w:val="en-US" w:eastAsia="zh-CN"/>
        </w:rPr>
        <w:t>支出</w:t>
      </w:r>
      <w:r>
        <w:rPr>
          <w:rFonts w:hint="eastAsia" w:eastAsia="仿宋" w:cs="Times New Roman"/>
          <w:b w:val="0"/>
          <w:bCs/>
          <w:sz w:val="32"/>
          <w:szCs w:val="32"/>
          <w:highlight w:val="none"/>
          <w:lang w:val="en-US" w:eastAsia="zh-CN"/>
        </w:rPr>
        <w:t>决算为1223.00</w:t>
      </w:r>
      <w:r>
        <w:rPr>
          <w:rFonts w:hint="default" w:ascii="Times New Roman" w:hAnsi="Times New Roman" w:eastAsia="仿宋" w:cs="Times New Roman"/>
          <w:b w:val="0"/>
          <w:bCs/>
          <w:sz w:val="32"/>
          <w:szCs w:val="32"/>
          <w:highlight w:val="none"/>
          <w:lang w:val="en-US" w:eastAsia="zh-CN"/>
        </w:rPr>
        <w:t>万元</w:t>
      </w:r>
      <w:r>
        <w:rPr>
          <w:rFonts w:hint="eastAsia" w:eastAsia="仿宋" w:cs="Times New Roman"/>
          <w:b w:val="0"/>
          <w:bCs/>
          <w:sz w:val="32"/>
          <w:szCs w:val="32"/>
          <w:highlight w:val="none"/>
          <w:lang w:val="en-US" w:eastAsia="zh-CN"/>
        </w:rPr>
        <w:t>（其中：人员经费支出1065.10万元、公用经费支出157.90万元）</w:t>
      </w:r>
      <w:r>
        <w:rPr>
          <w:rFonts w:hint="default"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2021年末结余基本支出</w:t>
      </w:r>
      <w:r>
        <w:rPr>
          <w:rFonts w:hint="eastAsia" w:ascii="Times New Roman" w:hAnsi="Times New Roman" w:eastAsia="仿宋" w:cs="Times New Roman"/>
          <w:b w:val="0"/>
          <w:bCs/>
          <w:sz w:val="32"/>
          <w:szCs w:val="32"/>
          <w:highlight w:val="none"/>
          <w:lang w:val="en-US" w:eastAsia="zh-CN"/>
        </w:rPr>
        <w:t>资金结余</w:t>
      </w:r>
      <w:r>
        <w:rPr>
          <w:rFonts w:hint="eastAsia" w:eastAsia="仿宋" w:cs="Times New Roman"/>
          <w:b w:val="0"/>
          <w:bCs/>
          <w:sz w:val="32"/>
          <w:szCs w:val="32"/>
          <w:highlight w:val="none"/>
          <w:lang w:val="en-US" w:eastAsia="zh-CN"/>
        </w:rPr>
        <w:t>0</w:t>
      </w:r>
      <w:r>
        <w:rPr>
          <w:rFonts w:hint="default" w:ascii="Times New Roman" w:hAnsi="Times New Roman" w:eastAsia="仿宋" w:cs="Times New Roman"/>
          <w:b w:val="0"/>
          <w:bCs/>
          <w:sz w:val="32"/>
          <w:szCs w:val="32"/>
          <w:highlight w:val="none"/>
          <w:lang w:val="en-US" w:eastAsia="zh-CN"/>
        </w:rPr>
        <w:t>万元</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预算执行率</w:t>
      </w:r>
      <w:r>
        <w:rPr>
          <w:rFonts w:hint="eastAsia" w:ascii="Times New Roman" w:hAnsi="Times New Roman" w:eastAsia="仿宋" w:cs="Times New Roman"/>
          <w:b w:val="0"/>
          <w:bCs/>
          <w:sz w:val="32"/>
          <w:szCs w:val="32"/>
          <w:highlight w:val="none"/>
          <w:lang w:val="en-US" w:eastAsia="zh-CN"/>
        </w:rPr>
        <w:t>为</w:t>
      </w:r>
      <w:r>
        <w:rPr>
          <w:rFonts w:hint="eastAsia" w:eastAsia="仿宋" w:cs="Times New Roman"/>
          <w:b w:val="0"/>
          <w:bCs/>
          <w:sz w:val="32"/>
          <w:szCs w:val="32"/>
          <w:highlight w:val="none"/>
          <w:lang w:val="en-US" w:eastAsia="zh-CN"/>
        </w:rPr>
        <w:t>100.00</w:t>
      </w:r>
      <w:r>
        <w:rPr>
          <w:rFonts w:hint="default" w:ascii="Times New Roman" w:hAnsi="Times New Roman" w:eastAsia="仿宋" w:cs="Times New Roman"/>
          <w:b w:val="0"/>
          <w:bCs/>
          <w:sz w:val="32"/>
          <w:szCs w:val="32"/>
          <w:highlight w:val="none"/>
          <w:lang w:val="en-US" w:eastAsia="zh-CN"/>
        </w:rPr>
        <w:t>%</w:t>
      </w:r>
      <w:r>
        <w:rPr>
          <w:rFonts w:hint="eastAsia"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基本支出具体情况如下：</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eastAsia="仿宋"/>
          <w:bCs/>
          <w:color w:val="auto"/>
          <w:sz w:val="32"/>
          <w:szCs w:val="32"/>
          <w:lang w:eastAsia="zh-CN"/>
        </w:rPr>
      </w:pPr>
      <w:r>
        <w:rPr>
          <w:rFonts w:hint="eastAsia" w:eastAsia="仿宋"/>
          <w:bCs/>
          <w:color w:val="auto"/>
          <w:sz w:val="32"/>
          <w:szCs w:val="32"/>
          <w:lang w:eastAsia="zh-CN"/>
        </w:rPr>
        <w:t>（</w:t>
      </w:r>
      <w:r>
        <w:rPr>
          <w:rFonts w:hint="eastAsia" w:eastAsia="仿宋"/>
          <w:bCs/>
          <w:color w:val="auto"/>
          <w:sz w:val="32"/>
          <w:szCs w:val="32"/>
          <w:lang w:val="en-US" w:eastAsia="zh-CN"/>
        </w:rPr>
        <w:t>1</w:t>
      </w:r>
      <w:r>
        <w:rPr>
          <w:rFonts w:hint="eastAsia" w:eastAsia="仿宋"/>
          <w:bCs/>
          <w:color w:val="auto"/>
          <w:sz w:val="32"/>
          <w:szCs w:val="32"/>
          <w:lang w:eastAsia="zh-CN"/>
        </w:rPr>
        <w:t>）</w:t>
      </w:r>
      <w:r>
        <w:rPr>
          <w:rFonts w:hint="eastAsia" w:eastAsia="仿宋"/>
          <w:bCs/>
          <w:color w:val="auto"/>
          <w:sz w:val="32"/>
          <w:szCs w:val="32"/>
        </w:rPr>
        <w:t>工资福利支出</w:t>
      </w:r>
      <w:r>
        <w:rPr>
          <w:rFonts w:hint="eastAsia" w:eastAsia="仿宋"/>
          <w:bCs/>
          <w:color w:val="auto"/>
          <w:sz w:val="32"/>
          <w:szCs w:val="32"/>
          <w:lang w:val="en-US" w:eastAsia="zh-CN"/>
        </w:rPr>
        <w:t>1062.28万</w:t>
      </w:r>
      <w:r>
        <w:rPr>
          <w:rFonts w:hint="eastAsia" w:eastAsia="仿宋"/>
          <w:bCs/>
          <w:color w:val="auto"/>
          <w:sz w:val="32"/>
          <w:szCs w:val="32"/>
        </w:rPr>
        <w:t>元（其中基本工资</w:t>
      </w:r>
      <w:r>
        <w:rPr>
          <w:rFonts w:hint="eastAsia" w:eastAsia="仿宋"/>
          <w:bCs/>
          <w:color w:val="auto"/>
          <w:sz w:val="32"/>
          <w:szCs w:val="32"/>
          <w:lang w:val="en-US" w:eastAsia="zh-CN"/>
        </w:rPr>
        <w:t>469.11万</w:t>
      </w:r>
      <w:r>
        <w:rPr>
          <w:rFonts w:hint="eastAsia" w:eastAsia="仿宋"/>
          <w:bCs/>
          <w:color w:val="auto"/>
          <w:sz w:val="32"/>
          <w:szCs w:val="32"/>
        </w:rPr>
        <w:t>元、津贴补贴</w:t>
      </w:r>
      <w:r>
        <w:rPr>
          <w:rFonts w:hint="eastAsia" w:eastAsia="仿宋"/>
          <w:bCs/>
          <w:color w:val="auto"/>
          <w:sz w:val="32"/>
          <w:szCs w:val="32"/>
          <w:lang w:val="en-US" w:eastAsia="zh-CN"/>
        </w:rPr>
        <w:t>205.57万</w:t>
      </w:r>
      <w:r>
        <w:rPr>
          <w:rFonts w:hint="eastAsia" w:eastAsia="仿宋"/>
          <w:bCs/>
          <w:color w:val="auto"/>
          <w:sz w:val="32"/>
          <w:szCs w:val="32"/>
        </w:rPr>
        <w:t>元、</w:t>
      </w:r>
      <w:r>
        <w:rPr>
          <w:rFonts w:hint="eastAsia" w:eastAsia="仿宋"/>
          <w:bCs/>
          <w:color w:val="auto"/>
          <w:sz w:val="32"/>
          <w:szCs w:val="32"/>
          <w:lang w:val="en-US" w:eastAsia="zh-CN"/>
        </w:rPr>
        <w:t>伙食补助费36.96万</w:t>
      </w:r>
      <w:r>
        <w:rPr>
          <w:rFonts w:hint="eastAsia" w:eastAsia="仿宋"/>
          <w:bCs/>
          <w:color w:val="auto"/>
          <w:sz w:val="32"/>
          <w:szCs w:val="32"/>
        </w:rPr>
        <w:t>元、</w:t>
      </w:r>
      <w:r>
        <w:rPr>
          <w:rFonts w:hint="eastAsia" w:eastAsia="仿宋"/>
          <w:bCs/>
          <w:color w:val="auto"/>
          <w:sz w:val="32"/>
          <w:szCs w:val="32"/>
          <w:lang w:val="en-US" w:eastAsia="zh-CN"/>
        </w:rPr>
        <w:t>绩效工资52.65万元、机关事业单位基本养老保险缴费165.40万元、职工基本医疗保险缴费39.37万元、其他社会保障缴费3.75万元、住房公积金1.84万元、医疗费7.76万元、其他工资福利支出79.87万元。</w:t>
      </w:r>
      <w:r>
        <w:rPr>
          <w:rFonts w:hint="eastAsia" w:eastAsia="仿宋"/>
          <w:bCs/>
          <w:color w:val="auto"/>
          <w:sz w:val="32"/>
          <w:szCs w:val="32"/>
        </w:rPr>
        <w:t>）</w:t>
      </w:r>
      <w:r>
        <w:rPr>
          <w:rFonts w:hint="eastAsia" w:eastAsia="仿宋"/>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eastAsia="仿宋"/>
          <w:bCs/>
          <w:color w:val="auto"/>
          <w:sz w:val="32"/>
          <w:szCs w:val="32"/>
          <w:lang w:eastAsia="zh-CN"/>
        </w:rPr>
      </w:pPr>
      <w:r>
        <w:rPr>
          <w:rFonts w:hint="eastAsia" w:eastAsia="仿宋"/>
          <w:bCs/>
          <w:color w:val="auto"/>
          <w:sz w:val="32"/>
          <w:szCs w:val="32"/>
          <w:lang w:eastAsia="zh-CN"/>
        </w:rPr>
        <w:t>（</w:t>
      </w:r>
      <w:r>
        <w:rPr>
          <w:rFonts w:hint="eastAsia" w:eastAsia="仿宋"/>
          <w:bCs/>
          <w:color w:val="auto"/>
          <w:sz w:val="32"/>
          <w:szCs w:val="32"/>
          <w:lang w:val="en-US" w:eastAsia="zh-CN"/>
        </w:rPr>
        <w:t>2</w:t>
      </w:r>
      <w:r>
        <w:rPr>
          <w:rFonts w:hint="eastAsia" w:eastAsia="仿宋"/>
          <w:bCs/>
          <w:color w:val="auto"/>
          <w:sz w:val="32"/>
          <w:szCs w:val="32"/>
          <w:lang w:eastAsia="zh-CN"/>
        </w:rPr>
        <w:t>）</w:t>
      </w:r>
      <w:r>
        <w:rPr>
          <w:rFonts w:hint="eastAsia" w:eastAsia="仿宋"/>
          <w:bCs/>
          <w:color w:val="auto"/>
          <w:sz w:val="32"/>
          <w:szCs w:val="32"/>
        </w:rPr>
        <w:t>商品和服务支出</w:t>
      </w:r>
      <w:r>
        <w:rPr>
          <w:rFonts w:hint="eastAsia" w:eastAsia="仿宋"/>
          <w:bCs/>
          <w:color w:val="auto"/>
          <w:sz w:val="32"/>
          <w:szCs w:val="32"/>
          <w:lang w:val="en-US" w:eastAsia="zh-CN"/>
        </w:rPr>
        <w:t>153.41万</w:t>
      </w:r>
      <w:r>
        <w:rPr>
          <w:rFonts w:hint="eastAsia" w:eastAsia="仿宋"/>
          <w:bCs/>
          <w:color w:val="auto"/>
          <w:sz w:val="32"/>
          <w:szCs w:val="32"/>
        </w:rPr>
        <w:t>元（其中办公费</w:t>
      </w:r>
      <w:r>
        <w:rPr>
          <w:rFonts w:hint="eastAsia" w:eastAsia="仿宋"/>
          <w:bCs/>
          <w:color w:val="auto"/>
          <w:sz w:val="32"/>
          <w:szCs w:val="32"/>
          <w:lang w:val="en-US" w:eastAsia="zh-CN"/>
        </w:rPr>
        <w:t>18.46万</w:t>
      </w:r>
      <w:r>
        <w:rPr>
          <w:rFonts w:hint="eastAsia" w:eastAsia="仿宋"/>
          <w:bCs/>
          <w:color w:val="auto"/>
          <w:sz w:val="32"/>
          <w:szCs w:val="32"/>
        </w:rPr>
        <w:t>元、印刷费</w:t>
      </w:r>
      <w:r>
        <w:rPr>
          <w:rFonts w:hint="eastAsia" w:eastAsia="仿宋"/>
          <w:bCs/>
          <w:color w:val="auto"/>
          <w:sz w:val="32"/>
          <w:szCs w:val="32"/>
          <w:lang w:val="en-US" w:eastAsia="zh-CN"/>
        </w:rPr>
        <w:t>5.31万</w:t>
      </w:r>
      <w:r>
        <w:rPr>
          <w:rFonts w:hint="eastAsia" w:eastAsia="仿宋"/>
          <w:bCs/>
          <w:color w:val="auto"/>
          <w:sz w:val="32"/>
          <w:szCs w:val="32"/>
        </w:rPr>
        <w:t>元、水费</w:t>
      </w:r>
      <w:r>
        <w:rPr>
          <w:rFonts w:hint="eastAsia" w:eastAsia="仿宋"/>
          <w:bCs/>
          <w:color w:val="auto"/>
          <w:sz w:val="32"/>
          <w:szCs w:val="32"/>
          <w:lang w:val="en-US" w:eastAsia="zh-CN"/>
        </w:rPr>
        <w:t>1.28万</w:t>
      </w:r>
      <w:r>
        <w:rPr>
          <w:rFonts w:hint="eastAsia" w:eastAsia="仿宋"/>
          <w:bCs/>
          <w:color w:val="auto"/>
          <w:sz w:val="32"/>
          <w:szCs w:val="32"/>
        </w:rPr>
        <w:t>元、</w:t>
      </w:r>
      <w:r>
        <w:rPr>
          <w:rFonts w:hint="eastAsia" w:eastAsia="仿宋"/>
          <w:bCs/>
          <w:color w:val="auto"/>
          <w:sz w:val="32"/>
          <w:szCs w:val="32"/>
          <w:lang w:val="en-US" w:eastAsia="zh-CN"/>
        </w:rPr>
        <w:t>电费11.21万元、</w:t>
      </w:r>
      <w:r>
        <w:rPr>
          <w:rFonts w:hint="eastAsia" w:eastAsia="仿宋"/>
          <w:bCs/>
          <w:color w:val="auto"/>
          <w:sz w:val="32"/>
          <w:szCs w:val="32"/>
        </w:rPr>
        <w:t>邮电费</w:t>
      </w:r>
      <w:r>
        <w:rPr>
          <w:rFonts w:hint="eastAsia" w:eastAsia="仿宋"/>
          <w:bCs/>
          <w:color w:val="auto"/>
          <w:sz w:val="32"/>
          <w:szCs w:val="32"/>
          <w:lang w:val="en-US" w:eastAsia="zh-CN"/>
        </w:rPr>
        <w:t>0.82万</w:t>
      </w:r>
      <w:r>
        <w:rPr>
          <w:rFonts w:hint="eastAsia" w:eastAsia="仿宋"/>
          <w:bCs/>
          <w:color w:val="auto"/>
          <w:sz w:val="32"/>
          <w:szCs w:val="32"/>
        </w:rPr>
        <w:t>元、</w:t>
      </w:r>
      <w:r>
        <w:rPr>
          <w:rFonts w:hint="eastAsia" w:eastAsia="仿宋"/>
          <w:bCs/>
          <w:color w:val="auto"/>
          <w:sz w:val="32"/>
          <w:szCs w:val="32"/>
          <w:lang w:val="en-US" w:eastAsia="zh-CN"/>
        </w:rPr>
        <w:t>差旅费18.13万元、</w:t>
      </w:r>
      <w:r>
        <w:rPr>
          <w:rFonts w:hint="eastAsia" w:eastAsia="仿宋"/>
          <w:bCs/>
          <w:color w:val="auto"/>
          <w:sz w:val="32"/>
          <w:szCs w:val="32"/>
        </w:rPr>
        <w:t>维修维护费</w:t>
      </w:r>
      <w:r>
        <w:rPr>
          <w:rFonts w:hint="eastAsia" w:eastAsia="仿宋"/>
          <w:bCs/>
          <w:color w:val="auto"/>
          <w:sz w:val="32"/>
          <w:szCs w:val="32"/>
          <w:lang w:val="en-US" w:eastAsia="zh-CN"/>
        </w:rPr>
        <w:t>3.1万</w:t>
      </w:r>
      <w:r>
        <w:rPr>
          <w:rFonts w:hint="eastAsia" w:eastAsia="仿宋"/>
          <w:bCs/>
          <w:color w:val="auto"/>
          <w:sz w:val="32"/>
          <w:szCs w:val="32"/>
        </w:rPr>
        <w:t>元、</w:t>
      </w:r>
      <w:r>
        <w:rPr>
          <w:rFonts w:hint="eastAsia" w:eastAsia="仿宋"/>
          <w:bCs/>
          <w:color w:val="auto"/>
          <w:sz w:val="32"/>
          <w:szCs w:val="32"/>
          <w:lang w:val="en-US" w:eastAsia="zh-CN"/>
        </w:rPr>
        <w:t>租赁费1.95万元、会议费0.34万元、培训费4.42万元、公务接待费0.32万元、专用材料费0.6万元、</w:t>
      </w:r>
      <w:r>
        <w:rPr>
          <w:rFonts w:hint="eastAsia" w:eastAsia="仿宋"/>
          <w:bCs/>
          <w:color w:val="auto"/>
          <w:sz w:val="32"/>
          <w:szCs w:val="32"/>
        </w:rPr>
        <w:t>劳务费</w:t>
      </w:r>
      <w:r>
        <w:rPr>
          <w:rFonts w:hint="eastAsia" w:eastAsia="仿宋"/>
          <w:bCs/>
          <w:color w:val="auto"/>
          <w:sz w:val="32"/>
          <w:szCs w:val="32"/>
          <w:lang w:val="en-US" w:eastAsia="zh-CN"/>
        </w:rPr>
        <w:t>6.65万</w:t>
      </w:r>
      <w:r>
        <w:rPr>
          <w:rFonts w:hint="eastAsia" w:eastAsia="仿宋"/>
          <w:bCs/>
          <w:color w:val="auto"/>
          <w:sz w:val="32"/>
          <w:szCs w:val="32"/>
        </w:rPr>
        <w:t>元、工会经费</w:t>
      </w:r>
      <w:r>
        <w:rPr>
          <w:rFonts w:hint="eastAsia" w:eastAsia="仿宋"/>
          <w:bCs/>
          <w:color w:val="auto"/>
          <w:sz w:val="32"/>
          <w:szCs w:val="32"/>
          <w:lang w:val="en-US" w:eastAsia="zh-CN"/>
        </w:rPr>
        <w:t>50万</w:t>
      </w:r>
      <w:r>
        <w:rPr>
          <w:rFonts w:hint="eastAsia" w:eastAsia="仿宋"/>
          <w:bCs/>
          <w:color w:val="auto"/>
          <w:sz w:val="32"/>
          <w:szCs w:val="32"/>
        </w:rPr>
        <w:t>元、福利费</w:t>
      </w:r>
      <w:r>
        <w:rPr>
          <w:rFonts w:hint="eastAsia" w:eastAsia="仿宋"/>
          <w:bCs/>
          <w:color w:val="auto"/>
          <w:sz w:val="32"/>
          <w:szCs w:val="32"/>
          <w:lang w:val="en-US" w:eastAsia="zh-CN"/>
        </w:rPr>
        <w:t>22.47万</w:t>
      </w:r>
      <w:r>
        <w:rPr>
          <w:rFonts w:hint="eastAsia" w:eastAsia="仿宋"/>
          <w:bCs/>
          <w:color w:val="auto"/>
          <w:sz w:val="32"/>
          <w:szCs w:val="32"/>
        </w:rPr>
        <w:t>元、</w:t>
      </w:r>
      <w:r>
        <w:rPr>
          <w:rFonts w:hint="eastAsia" w:eastAsia="仿宋"/>
          <w:bCs/>
          <w:color w:val="auto"/>
          <w:sz w:val="32"/>
          <w:szCs w:val="32"/>
          <w:lang w:val="en-US" w:eastAsia="zh-CN"/>
        </w:rPr>
        <w:t>其他交通费用0.07万元、其他商品和服务支出</w:t>
      </w:r>
      <w:r>
        <w:rPr>
          <w:rFonts w:hint="eastAsia" w:eastAsia="仿宋"/>
          <w:bCs/>
          <w:color w:val="auto"/>
          <w:sz w:val="32"/>
          <w:szCs w:val="32"/>
          <w:highlight w:val="none"/>
          <w:lang w:val="en-US" w:eastAsia="zh-CN"/>
        </w:rPr>
        <w:t>8.28万</w:t>
      </w:r>
      <w:r>
        <w:rPr>
          <w:rFonts w:hint="eastAsia" w:eastAsia="仿宋"/>
          <w:bCs/>
          <w:color w:val="auto"/>
          <w:sz w:val="32"/>
          <w:szCs w:val="32"/>
          <w:lang w:val="en-US" w:eastAsia="zh-CN"/>
        </w:rPr>
        <w:t>元</w:t>
      </w:r>
      <w:r>
        <w:rPr>
          <w:rFonts w:hint="eastAsia" w:eastAsia="仿宋"/>
          <w:bCs/>
          <w:color w:val="auto"/>
          <w:sz w:val="32"/>
          <w:szCs w:val="32"/>
        </w:rPr>
        <w:t>）</w:t>
      </w:r>
      <w:r>
        <w:rPr>
          <w:rFonts w:hint="eastAsia" w:eastAsia="仿宋"/>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eastAsia="仿宋"/>
          <w:bCs/>
          <w:color w:val="auto"/>
          <w:sz w:val="32"/>
          <w:szCs w:val="32"/>
          <w:lang w:eastAsia="zh-CN"/>
        </w:rPr>
      </w:pPr>
      <w:r>
        <w:rPr>
          <w:rFonts w:hint="eastAsia" w:eastAsia="仿宋"/>
          <w:bCs/>
          <w:color w:val="auto"/>
          <w:sz w:val="32"/>
          <w:szCs w:val="32"/>
          <w:lang w:eastAsia="zh-CN"/>
        </w:rPr>
        <w:t>（</w:t>
      </w:r>
      <w:r>
        <w:rPr>
          <w:rFonts w:hint="eastAsia" w:eastAsia="仿宋"/>
          <w:bCs/>
          <w:color w:val="auto"/>
          <w:sz w:val="32"/>
          <w:szCs w:val="32"/>
          <w:lang w:val="en-US" w:eastAsia="zh-CN"/>
        </w:rPr>
        <w:t>3）</w:t>
      </w:r>
      <w:r>
        <w:rPr>
          <w:rFonts w:hint="eastAsia" w:eastAsia="仿宋"/>
          <w:bCs/>
          <w:color w:val="auto"/>
          <w:sz w:val="32"/>
          <w:szCs w:val="32"/>
        </w:rPr>
        <w:t>对个人和家庭补助支出</w:t>
      </w:r>
      <w:r>
        <w:rPr>
          <w:rFonts w:hint="eastAsia" w:eastAsia="仿宋"/>
          <w:bCs/>
          <w:color w:val="auto"/>
          <w:sz w:val="32"/>
          <w:szCs w:val="32"/>
          <w:lang w:val="en-US" w:eastAsia="zh-CN"/>
        </w:rPr>
        <w:t>2.82万</w:t>
      </w:r>
      <w:r>
        <w:rPr>
          <w:rFonts w:hint="eastAsia" w:eastAsia="仿宋"/>
          <w:bCs/>
          <w:color w:val="auto"/>
          <w:sz w:val="32"/>
          <w:szCs w:val="32"/>
        </w:rPr>
        <w:t>元（</w:t>
      </w:r>
      <w:r>
        <w:rPr>
          <w:rFonts w:hint="eastAsia" w:eastAsia="仿宋"/>
          <w:bCs/>
          <w:color w:val="auto"/>
          <w:sz w:val="32"/>
          <w:szCs w:val="32"/>
          <w:lang w:val="en-US" w:eastAsia="zh-CN"/>
        </w:rPr>
        <w:t>其中</w:t>
      </w:r>
      <w:r>
        <w:rPr>
          <w:rFonts w:hint="eastAsia" w:eastAsia="仿宋"/>
          <w:bCs/>
          <w:color w:val="auto"/>
          <w:sz w:val="32"/>
          <w:szCs w:val="32"/>
        </w:rPr>
        <w:t>生活补助</w:t>
      </w:r>
      <w:r>
        <w:rPr>
          <w:rFonts w:hint="eastAsia" w:eastAsia="仿宋"/>
          <w:bCs/>
          <w:color w:val="auto"/>
          <w:sz w:val="32"/>
          <w:szCs w:val="32"/>
          <w:lang w:val="en-US" w:eastAsia="zh-CN"/>
        </w:rPr>
        <w:t>2.8万</w:t>
      </w:r>
      <w:r>
        <w:rPr>
          <w:rFonts w:hint="eastAsia" w:eastAsia="仿宋"/>
          <w:bCs/>
          <w:color w:val="auto"/>
          <w:sz w:val="32"/>
          <w:szCs w:val="32"/>
        </w:rPr>
        <w:t>元，</w:t>
      </w:r>
      <w:r>
        <w:rPr>
          <w:rFonts w:hint="eastAsia" w:eastAsia="仿宋"/>
          <w:bCs/>
          <w:color w:val="auto"/>
          <w:sz w:val="32"/>
          <w:szCs w:val="32"/>
          <w:lang w:val="en-US" w:eastAsia="zh-CN"/>
        </w:rPr>
        <w:t>医疗费补助0.02万元</w:t>
      </w:r>
      <w:r>
        <w:rPr>
          <w:rFonts w:hint="eastAsia" w:eastAsia="仿宋"/>
          <w:bCs/>
          <w:color w:val="auto"/>
          <w:sz w:val="32"/>
          <w:szCs w:val="32"/>
        </w:rPr>
        <w:t>）</w:t>
      </w:r>
      <w:r>
        <w:rPr>
          <w:rFonts w:hint="eastAsia" w:eastAsia="仿宋"/>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eastAsia="仿宋"/>
          <w:bCs/>
          <w:color w:val="auto"/>
          <w:sz w:val="32"/>
          <w:szCs w:val="32"/>
          <w:lang w:eastAsia="zh-CN"/>
        </w:rPr>
      </w:pPr>
      <w:r>
        <w:rPr>
          <w:rFonts w:hint="eastAsia" w:eastAsia="仿宋"/>
          <w:bCs/>
          <w:color w:val="auto"/>
          <w:sz w:val="32"/>
          <w:szCs w:val="32"/>
          <w:lang w:eastAsia="zh-CN"/>
        </w:rPr>
        <w:t>（</w:t>
      </w:r>
      <w:r>
        <w:rPr>
          <w:rFonts w:hint="eastAsia" w:eastAsia="仿宋"/>
          <w:bCs/>
          <w:color w:val="auto"/>
          <w:sz w:val="32"/>
          <w:szCs w:val="32"/>
          <w:lang w:val="en-US" w:eastAsia="zh-CN"/>
        </w:rPr>
        <w:t>4</w:t>
      </w:r>
      <w:r>
        <w:rPr>
          <w:rFonts w:hint="eastAsia" w:eastAsia="仿宋"/>
          <w:bCs/>
          <w:color w:val="auto"/>
          <w:sz w:val="32"/>
          <w:szCs w:val="32"/>
          <w:lang w:eastAsia="zh-CN"/>
        </w:rPr>
        <w:t>）</w:t>
      </w:r>
      <w:r>
        <w:rPr>
          <w:rFonts w:hint="eastAsia" w:eastAsia="仿宋"/>
          <w:bCs/>
          <w:color w:val="auto"/>
          <w:sz w:val="32"/>
          <w:szCs w:val="32"/>
          <w:lang w:val="en-US" w:eastAsia="zh-CN"/>
        </w:rPr>
        <w:t>资本性支出4.49万</w:t>
      </w:r>
      <w:r>
        <w:rPr>
          <w:rFonts w:hint="eastAsia" w:eastAsia="仿宋"/>
          <w:bCs/>
          <w:color w:val="auto"/>
          <w:sz w:val="32"/>
          <w:szCs w:val="32"/>
        </w:rPr>
        <w:t>元</w:t>
      </w:r>
      <w:r>
        <w:rPr>
          <w:rFonts w:hint="eastAsia" w:eastAsia="仿宋"/>
          <w:bCs/>
          <w:color w:val="auto"/>
          <w:sz w:val="32"/>
          <w:szCs w:val="32"/>
          <w:lang w:eastAsia="zh-CN"/>
        </w:rPr>
        <w:t>，</w:t>
      </w:r>
      <w:r>
        <w:rPr>
          <w:rFonts w:hint="eastAsia" w:eastAsia="仿宋"/>
          <w:bCs/>
          <w:color w:val="auto"/>
          <w:sz w:val="32"/>
          <w:szCs w:val="32"/>
          <w:lang w:val="en-US" w:eastAsia="zh-CN"/>
        </w:rPr>
        <w:t>均为办公设备购置</w:t>
      </w:r>
      <w:r>
        <w:rPr>
          <w:rFonts w:hint="eastAsia" w:eastAsia="仿宋"/>
          <w:bCs/>
          <w:color w:val="auto"/>
          <w:sz w:val="32"/>
          <w:szCs w:val="32"/>
        </w:rPr>
        <w:t>。</w:t>
      </w:r>
    </w:p>
    <w:p>
      <w:pPr>
        <w:numPr>
          <w:ilvl w:val="0"/>
          <w:numId w:val="1"/>
        </w:numPr>
        <w:adjustRightInd w:val="0"/>
        <w:snapToGrid w:val="0"/>
        <w:spacing w:line="600" w:lineRule="exact"/>
        <w:ind w:left="-11" w:leftChars="0" w:firstLine="641" w:firstLineChars="0"/>
        <w:outlineLvl w:val="2"/>
        <w:rPr>
          <w:rFonts w:hint="eastAsia" w:eastAsia="华文仿宋"/>
          <w:b/>
          <w:bCs/>
          <w:color w:val="auto"/>
          <w:sz w:val="32"/>
          <w:szCs w:val="32"/>
          <w:highlight w:val="none"/>
          <w:shd w:val="clear" w:color="auto" w:fill="FFFFFF"/>
          <w:lang w:val="en-US" w:eastAsia="zh-CN"/>
        </w:rPr>
      </w:pPr>
      <w:r>
        <w:rPr>
          <w:rFonts w:hint="eastAsia" w:eastAsia="华文仿宋"/>
          <w:b/>
          <w:bCs/>
          <w:color w:val="auto"/>
          <w:sz w:val="32"/>
          <w:szCs w:val="32"/>
          <w:highlight w:val="none"/>
          <w:shd w:val="clear" w:color="auto" w:fill="FFFFFF"/>
          <w:lang w:val="en-US" w:eastAsia="zh-CN"/>
        </w:rPr>
        <w:t>项目支出情况</w:t>
      </w:r>
    </w:p>
    <w:p>
      <w:pPr>
        <w:numPr>
          <w:ilvl w:val="0"/>
          <w:numId w:val="0"/>
        </w:numPr>
        <w:adjustRightInd w:val="0"/>
        <w:snapToGrid w:val="0"/>
        <w:spacing w:line="600" w:lineRule="exact"/>
        <w:ind w:firstLine="640" w:firstLineChars="200"/>
        <w:rPr>
          <w:rFonts w:hint="default"/>
          <w:highlight w:val="none"/>
          <w:lang w:val="en-US" w:eastAsia="zh-CN"/>
        </w:rPr>
      </w:pPr>
      <w:r>
        <w:rPr>
          <w:rFonts w:hint="default" w:ascii="Times New Roman" w:hAnsi="Times New Roman" w:eastAsia="仿宋" w:cs="Times New Roman"/>
          <w:b w:val="0"/>
          <w:bCs/>
          <w:sz w:val="32"/>
          <w:szCs w:val="32"/>
          <w:highlight w:val="none"/>
          <w:lang w:val="en-US" w:eastAsia="zh-CN"/>
        </w:rPr>
        <w:t>2021年</w:t>
      </w:r>
      <w:r>
        <w:rPr>
          <w:rFonts w:hint="eastAsia" w:eastAsia="仿宋" w:cs="Times New Roman"/>
          <w:b w:val="0"/>
          <w:bCs/>
          <w:sz w:val="32"/>
          <w:szCs w:val="32"/>
          <w:highlight w:val="none"/>
          <w:lang w:val="en-US" w:eastAsia="zh-CN"/>
        </w:rPr>
        <w:t>邵东市城市管理和综合执法局</w:t>
      </w:r>
      <w:r>
        <w:rPr>
          <w:rFonts w:hint="eastAsia" w:ascii="Times New Roman" w:hAnsi="Times New Roman" w:eastAsia="仿宋" w:cs="Times New Roman"/>
          <w:b w:val="0"/>
          <w:bCs/>
          <w:sz w:val="32"/>
          <w:szCs w:val="32"/>
          <w:highlight w:val="none"/>
          <w:lang w:val="en-US" w:eastAsia="zh-CN"/>
        </w:rPr>
        <w:t>经财政批复项目支出预算为</w:t>
      </w:r>
      <w:r>
        <w:rPr>
          <w:rFonts w:hint="eastAsia" w:eastAsia="仿宋" w:cs="Times New Roman"/>
          <w:b w:val="0"/>
          <w:bCs/>
          <w:sz w:val="32"/>
          <w:szCs w:val="32"/>
          <w:highlight w:val="none"/>
          <w:lang w:val="en-US" w:eastAsia="zh-CN"/>
        </w:rPr>
        <w:t>1817.60</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（其中：</w:t>
      </w:r>
      <w:r>
        <w:rPr>
          <w:rFonts w:hint="default" w:ascii="Times New Roman" w:hAnsi="Times New Roman" w:eastAsia="仿宋" w:cs="Times New Roman"/>
          <w:b w:val="0"/>
          <w:bCs/>
          <w:sz w:val="32"/>
          <w:szCs w:val="32"/>
          <w:highlight w:val="none"/>
          <w:lang w:val="en-US" w:eastAsia="zh-CN"/>
        </w:rPr>
        <w:t>年初预算</w:t>
      </w:r>
      <w:r>
        <w:rPr>
          <w:rFonts w:hint="eastAsia" w:eastAsia="仿宋" w:cs="Times New Roman"/>
          <w:b w:val="0"/>
          <w:bCs/>
          <w:sz w:val="32"/>
          <w:szCs w:val="32"/>
          <w:highlight w:val="none"/>
          <w:lang w:val="en-US" w:eastAsia="zh-CN"/>
        </w:rPr>
        <w:t>1817.60</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项目</w:t>
      </w:r>
      <w:r>
        <w:rPr>
          <w:rFonts w:hint="default" w:ascii="Times New Roman" w:hAnsi="Times New Roman" w:eastAsia="仿宋" w:cs="Times New Roman"/>
          <w:b w:val="0"/>
          <w:bCs/>
          <w:sz w:val="32"/>
          <w:szCs w:val="32"/>
          <w:highlight w:val="none"/>
          <w:lang w:val="en-US" w:eastAsia="zh-CN"/>
        </w:rPr>
        <w:t>支出</w:t>
      </w:r>
      <w:r>
        <w:rPr>
          <w:rFonts w:hint="eastAsia" w:eastAsia="仿宋" w:cs="Times New Roman"/>
          <w:b w:val="0"/>
          <w:bCs/>
          <w:sz w:val="32"/>
          <w:szCs w:val="32"/>
          <w:highlight w:val="none"/>
          <w:lang w:val="en-US" w:eastAsia="zh-CN"/>
        </w:rPr>
        <w:t>决算为</w:t>
      </w:r>
      <w:r>
        <w:rPr>
          <w:rFonts w:hint="eastAsia" w:eastAsia="仿宋_GB2312"/>
          <w:sz w:val="32"/>
          <w:szCs w:val="32"/>
          <w:highlight w:val="none"/>
          <w:lang w:val="en-US" w:eastAsia="zh-CN"/>
        </w:rPr>
        <w:t>1716.90</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资金结余</w:t>
      </w:r>
      <w:r>
        <w:rPr>
          <w:rFonts w:hint="eastAsia" w:eastAsia="仿宋" w:cs="Times New Roman"/>
          <w:b w:val="0"/>
          <w:bCs/>
          <w:sz w:val="32"/>
          <w:szCs w:val="32"/>
          <w:highlight w:val="none"/>
          <w:lang w:val="en-US" w:eastAsia="zh-CN"/>
        </w:rPr>
        <w:t>100.70</w:t>
      </w:r>
      <w:r>
        <w:rPr>
          <w:rFonts w:hint="default" w:ascii="Times New Roman" w:hAnsi="Times New Roman" w:eastAsia="仿宋" w:cs="Times New Roman"/>
          <w:b w:val="0"/>
          <w:bCs/>
          <w:sz w:val="32"/>
          <w:szCs w:val="32"/>
          <w:highlight w:val="none"/>
          <w:lang w:val="en-US" w:eastAsia="zh-CN"/>
        </w:rPr>
        <w:t>万元</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预算执行率</w:t>
      </w:r>
      <w:r>
        <w:rPr>
          <w:rFonts w:hint="eastAsia" w:ascii="Times New Roman" w:hAnsi="Times New Roman" w:eastAsia="仿宋" w:cs="Times New Roman"/>
          <w:b w:val="0"/>
          <w:bCs/>
          <w:sz w:val="32"/>
          <w:szCs w:val="32"/>
          <w:highlight w:val="none"/>
          <w:lang w:val="en-US" w:eastAsia="zh-CN"/>
        </w:rPr>
        <w:t>为</w:t>
      </w:r>
      <w:r>
        <w:rPr>
          <w:rFonts w:hint="eastAsia" w:eastAsia="仿宋" w:cs="Times New Roman"/>
          <w:b w:val="0"/>
          <w:bCs/>
          <w:sz w:val="32"/>
          <w:szCs w:val="32"/>
          <w:highlight w:val="none"/>
          <w:lang w:val="en-US" w:eastAsia="zh-CN"/>
        </w:rPr>
        <w:t>94.46</w:t>
      </w:r>
      <w:r>
        <w:rPr>
          <w:rFonts w:hint="default" w:ascii="Times New Roman" w:hAnsi="Times New Roman" w:eastAsia="仿宋" w:cs="Times New Roman"/>
          <w:b w:val="0"/>
          <w:bCs/>
          <w:sz w:val="32"/>
          <w:szCs w:val="32"/>
          <w:highlight w:val="none"/>
          <w:lang w:val="en-US" w:eastAsia="zh-CN"/>
        </w:rPr>
        <w:t>%</w:t>
      </w:r>
      <w:r>
        <w:rPr>
          <w:rFonts w:hint="eastAsia"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项目支出具体情况如下：</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w:t>
      </w:r>
      <w:r>
        <w:rPr>
          <w:rFonts w:hint="eastAsia" w:eastAsia="仿宋" w:cs="Times New Roman"/>
          <w:b w:val="0"/>
          <w:bCs/>
          <w:sz w:val="32"/>
          <w:szCs w:val="32"/>
          <w:highlight w:val="none"/>
          <w:lang w:val="en-US" w:eastAsia="zh-CN"/>
        </w:rPr>
        <w:t>城市协管员经费年初预算1628万元</w:t>
      </w:r>
      <w:r>
        <w:rPr>
          <w:rFonts w:hint="default" w:ascii="Times New Roman" w:hAnsi="Times New Roman" w:eastAsia="仿宋_GB2312" w:cs="Times New Roman"/>
          <w:b w:val="0"/>
          <w:bCs w:val="0"/>
          <w:sz w:val="32"/>
          <w:szCs w:val="32"/>
          <w:highlight w:val="none"/>
          <w:lang w:val="en-US" w:eastAsia="zh-CN"/>
        </w:rPr>
        <w:t>，实际支出</w:t>
      </w:r>
      <w:r>
        <w:rPr>
          <w:rFonts w:hint="eastAsia" w:eastAsia="仿宋_GB2312" w:cs="Times New Roman"/>
          <w:b w:val="0"/>
          <w:bCs w:val="0"/>
          <w:sz w:val="32"/>
          <w:szCs w:val="32"/>
          <w:highlight w:val="none"/>
          <w:lang w:val="en-US" w:eastAsia="zh-CN"/>
        </w:rPr>
        <w:t>1440.17</w:t>
      </w:r>
      <w:r>
        <w:rPr>
          <w:rFonts w:hint="default" w:ascii="Times New Roman" w:hAnsi="Times New Roman" w:eastAsia="仿宋_GB2312" w:cs="Times New Roman"/>
          <w:b w:val="0"/>
          <w:bCs w:val="0"/>
          <w:sz w:val="32"/>
          <w:szCs w:val="32"/>
          <w:highlight w:val="none"/>
          <w:lang w:val="en-US" w:eastAsia="zh-CN"/>
        </w:rPr>
        <w:t>万元，预算执行率</w:t>
      </w:r>
      <w:r>
        <w:rPr>
          <w:rFonts w:hint="eastAsia" w:eastAsia="仿宋_GB2312" w:cs="Times New Roman"/>
          <w:b w:val="0"/>
          <w:bCs w:val="0"/>
          <w:sz w:val="32"/>
          <w:szCs w:val="32"/>
          <w:highlight w:val="none"/>
          <w:lang w:val="en-US" w:eastAsia="zh-CN"/>
        </w:rPr>
        <w:t>88.46</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预算用于</w:t>
      </w:r>
      <w:r>
        <w:rPr>
          <w:rFonts w:hint="eastAsia" w:eastAsia="仿宋_GB2312" w:cs="Times New Roman"/>
          <w:b w:val="0"/>
          <w:bCs w:val="0"/>
          <w:sz w:val="32"/>
          <w:szCs w:val="32"/>
          <w:highlight w:val="none"/>
          <w:lang w:val="en-US" w:eastAsia="zh-CN"/>
        </w:rPr>
        <w:t>加强城市秩序管理，实现路段定人定岗定职责；</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w:t>
      </w:r>
      <w:r>
        <w:rPr>
          <w:rFonts w:hint="eastAsia" w:eastAsia="仿宋" w:cs="Times New Roman"/>
          <w:b w:val="0"/>
          <w:bCs/>
          <w:sz w:val="32"/>
          <w:szCs w:val="32"/>
          <w:highlight w:val="none"/>
          <w:lang w:val="en-US" w:eastAsia="zh-CN"/>
        </w:rPr>
        <w:t>车辆运行经费57.6万元</w:t>
      </w:r>
      <w:r>
        <w:rPr>
          <w:rFonts w:hint="default" w:ascii="Times New Roman" w:hAnsi="Times New Roman" w:eastAsia="仿宋_GB2312" w:cs="Times New Roman"/>
          <w:b w:val="0"/>
          <w:bCs w:val="0"/>
          <w:sz w:val="32"/>
          <w:szCs w:val="32"/>
          <w:highlight w:val="none"/>
          <w:lang w:val="en-US" w:eastAsia="zh-CN"/>
        </w:rPr>
        <w:t>，实际支出</w:t>
      </w:r>
      <w:r>
        <w:rPr>
          <w:rFonts w:hint="eastAsia" w:eastAsia="仿宋_GB2312" w:cs="Times New Roman"/>
          <w:b w:val="0"/>
          <w:bCs w:val="0"/>
          <w:sz w:val="32"/>
          <w:szCs w:val="32"/>
          <w:highlight w:val="none"/>
          <w:lang w:val="en-US" w:eastAsia="zh-CN"/>
        </w:rPr>
        <w:t>55.5</w:t>
      </w:r>
      <w:r>
        <w:rPr>
          <w:rFonts w:hint="default" w:ascii="Times New Roman" w:hAnsi="Times New Roman" w:eastAsia="仿宋_GB2312" w:cs="Times New Roman"/>
          <w:b w:val="0"/>
          <w:bCs w:val="0"/>
          <w:sz w:val="32"/>
          <w:szCs w:val="32"/>
          <w:highlight w:val="none"/>
          <w:lang w:val="en-US" w:eastAsia="zh-CN"/>
        </w:rPr>
        <w:t>万元，预算执行率</w:t>
      </w:r>
      <w:r>
        <w:rPr>
          <w:rFonts w:hint="eastAsia" w:ascii="Times New Roman" w:hAnsi="Times New Roman" w:eastAsia="仿宋_GB2312" w:cs="Times New Roman"/>
          <w:b w:val="0"/>
          <w:bCs w:val="0"/>
          <w:sz w:val="32"/>
          <w:szCs w:val="32"/>
          <w:highlight w:val="none"/>
          <w:lang w:val="en-US" w:eastAsia="zh-CN"/>
        </w:rPr>
        <w:t>96.35</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，预算用于</w:t>
      </w:r>
      <w:r>
        <w:rPr>
          <w:rFonts w:hint="eastAsia" w:eastAsia="仿宋_GB2312" w:cs="Times New Roman"/>
          <w:b w:val="0"/>
          <w:bCs w:val="0"/>
          <w:sz w:val="32"/>
          <w:szCs w:val="32"/>
          <w:highlight w:val="none"/>
          <w:lang w:val="en-US" w:eastAsia="zh-CN"/>
        </w:rPr>
        <w:t>保持单位正常运转，加强路段巡逻提供车辆支撑；</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w:t>
      </w:r>
      <w:r>
        <w:rPr>
          <w:rFonts w:hint="eastAsia" w:eastAsia="仿宋" w:cs="Times New Roman"/>
          <w:b w:val="0"/>
          <w:bCs/>
          <w:sz w:val="32"/>
          <w:szCs w:val="32"/>
          <w:highlight w:val="none"/>
          <w:lang w:val="en-US" w:eastAsia="zh-CN"/>
        </w:rPr>
        <w:t>城市牛皮癣市场化运作经费32万元</w:t>
      </w:r>
      <w:r>
        <w:rPr>
          <w:rFonts w:hint="default" w:ascii="Times New Roman" w:hAnsi="Times New Roman" w:eastAsia="仿宋_GB2312" w:cs="Times New Roman"/>
          <w:b w:val="0"/>
          <w:bCs w:val="0"/>
          <w:sz w:val="32"/>
          <w:szCs w:val="32"/>
          <w:highlight w:val="none"/>
          <w:lang w:val="en-US" w:eastAsia="zh-CN"/>
        </w:rPr>
        <w:t>，实际支出</w:t>
      </w:r>
      <w:r>
        <w:rPr>
          <w:rFonts w:hint="eastAsia" w:eastAsia="仿宋_GB2312" w:cs="Times New Roman"/>
          <w:b w:val="0"/>
          <w:bCs w:val="0"/>
          <w:sz w:val="32"/>
          <w:szCs w:val="32"/>
          <w:highlight w:val="none"/>
          <w:lang w:val="en-US" w:eastAsia="zh-CN"/>
        </w:rPr>
        <w:t>19.7</w:t>
      </w:r>
      <w:r>
        <w:rPr>
          <w:rFonts w:hint="default" w:ascii="Times New Roman" w:hAnsi="Times New Roman" w:eastAsia="仿宋_GB2312" w:cs="Times New Roman"/>
          <w:b w:val="0"/>
          <w:bCs w:val="0"/>
          <w:sz w:val="32"/>
          <w:szCs w:val="32"/>
          <w:highlight w:val="none"/>
          <w:lang w:val="en-US" w:eastAsia="zh-CN"/>
        </w:rPr>
        <w:t>万元，预算执行率</w:t>
      </w:r>
      <w:r>
        <w:rPr>
          <w:rFonts w:hint="eastAsia" w:eastAsia="仿宋_GB2312" w:cs="Times New Roman"/>
          <w:b w:val="0"/>
          <w:bCs w:val="0"/>
          <w:sz w:val="32"/>
          <w:szCs w:val="32"/>
          <w:highlight w:val="none"/>
          <w:lang w:val="en-US" w:eastAsia="zh-CN"/>
        </w:rPr>
        <w:t>61.56</w:t>
      </w:r>
      <w:r>
        <w:rPr>
          <w:rFonts w:hint="default"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预算用于及时清理城区“牛皮癣”广告，维护良好市容市貌</w:t>
      </w:r>
      <w:r>
        <w:rPr>
          <w:rFonts w:hint="default" w:ascii="Times New Roman" w:hAnsi="Times New Roman" w:eastAsia="仿宋_GB2312" w:cs="Times New Roman"/>
          <w:b w:val="0"/>
          <w:bCs w:val="0"/>
          <w:sz w:val="32"/>
          <w:szCs w:val="32"/>
          <w:highlight w:val="none"/>
          <w:lang w:val="en-US" w:eastAsia="zh-CN"/>
        </w:rPr>
        <w:t>。</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val="en-US" w:eastAsia="zh-CN"/>
        </w:rPr>
        <w:t>）</w:t>
      </w:r>
      <w:r>
        <w:rPr>
          <w:rFonts w:hint="eastAsia" w:eastAsia="仿宋" w:cs="Times New Roman"/>
          <w:b w:val="0"/>
          <w:bCs/>
          <w:sz w:val="32"/>
          <w:szCs w:val="32"/>
          <w:highlight w:val="none"/>
          <w:lang w:val="en-US" w:eastAsia="zh-CN"/>
        </w:rPr>
        <w:t>未考录人员经费20万元</w:t>
      </w:r>
      <w:r>
        <w:rPr>
          <w:rFonts w:hint="default" w:ascii="Times New Roman" w:hAnsi="Times New Roman" w:eastAsia="仿宋_GB2312" w:cs="Times New Roman"/>
          <w:b w:val="0"/>
          <w:bCs w:val="0"/>
          <w:sz w:val="32"/>
          <w:szCs w:val="32"/>
          <w:highlight w:val="none"/>
          <w:lang w:val="en-US" w:eastAsia="zh-CN"/>
        </w:rPr>
        <w:t>，实际支出</w:t>
      </w:r>
      <w:r>
        <w:rPr>
          <w:rFonts w:hint="eastAsia" w:eastAsia="仿宋_GB2312" w:cs="Times New Roman"/>
          <w:b w:val="0"/>
          <w:bCs w:val="0"/>
          <w:sz w:val="32"/>
          <w:szCs w:val="32"/>
          <w:highlight w:val="none"/>
          <w:lang w:val="en-US" w:eastAsia="zh-CN"/>
        </w:rPr>
        <w:t>18.79</w:t>
      </w:r>
      <w:r>
        <w:rPr>
          <w:rFonts w:hint="default" w:ascii="Times New Roman" w:hAnsi="Times New Roman" w:eastAsia="仿宋_GB2312" w:cs="Times New Roman"/>
          <w:b w:val="0"/>
          <w:bCs w:val="0"/>
          <w:sz w:val="32"/>
          <w:szCs w:val="32"/>
          <w:highlight w:val="none"/>
          <w:lang w:val="en-US" w:eastAsia="zh-CN"/>
        </w:rPr>
        <w:t>万元，预算执行率</w:t>
      </w:r>
      <w:r>
        <w:rPr>
          <w:rFonts w:hint="eastAsia" w:ascii="Times New Roman" w:hAnsi="Times New Roman" w:eastAsia="仿宋_GB2312" w:cs="Times New Roman"/>
          <w:b w:val="0"/>
          <w:bCs w:val="0"/>
          <w:sz w:val="32"/>
          <w:szCs w:val="32"/>
          <w:highlight w:val="none"/>
          <w:lang w:val="en-US" w:eastAsia="zh-CN"/>
        </w:rPr>
        <w:t>93.95</w:t>
      </w:r>
      <w:r>
        <w:rPr>
          <w:rFonts w:hint="default" w:ascii="Times New Roman" w:hAnsi="Times New Roman" w:eastAsia="仿宋_GB2312" w:cs="Times New Roman"/>
          <w:b w:val="0"/>
          <w:bCs w:val="0"/>
          <w:sz w:val="32"/>
          <w:szCs w:val="32"/>
          <w:highlight w:val="none"/>
          <w:lang w:val="en-US" w:eastAsia="zh-CN"/>
        </w:rPr>
        <w:t>%，预算用于</w:t>
      </w:r>
      <w:r>
        <w:rPr>
          <w:rFonts w:hint="eastAsia" w:eastAsia="仿宋_GB2312" w:cs="Times New Roman"/>
          <w:b w:val="0"/>
          <w:bCs w:val="0"/>
          <w:sz w:val="32"/>
          <w:szCs w:val="32"/>
          <w:highlight w:val="none"/>
          <w:lang w:val="en-US" w:eastAsia="zh-CN"/>
        </w:rPr>
        <w:t>解决人员身份历史遗留问题，解决就业矛盾；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val="en-US" w:eastAsia="zh-CN"/>
        </w:rPr>
        <w:t>）</w:t>
      </w:r>
      <w:r>
        <w:rPr>
          <w:rFonts w:hint="eastAsia" w:eastAsia="仿宋" w:cs="Times New Roman"/>
          <w:b w:val="0"/>
          <w:bCs/>
          <w:sz w:val="32"/>
          <w:szCs w:val="32"/>
          <w:highlight w:val="none"/>
          <w:lang w:val="en-US" w:eastAsia="zh-CN"/>
        </w:rPr>
        <w:t>执法专项经费支出80万元</w:t>
      </w:r>
      <w:r>
        <w:rPr>
          <w:rFonts w:hint="default" w:ascii="Times New Roman" w:hAnsi="Times New Roman" w:eastAsia="仿宋_GB2312" w:cs="Times New Roman"/>
          <w:b w:val="0"/>
          <w:bCs w:val="0"/>
          <w:sz w:val="32"/>
          <w:szCs w:val="32"/>
          <w:highlight w:val="none"/>
          <w:lang w:val="en-US" w:eastAsia="zh-CN"/>
        </w:rPr>
        <w:t>，实际支出</w:t>
      </w:r>
      <w:r>
        <w:rPr>
          <w:rFonts w:hint="eastAsia" w:eastAsia="仿宋_GB2312" w:cs="Times New Roman"/>
          <w:b w:val="0"/>
          <w:bCs w:val="0"/>
          <w:sz w:val="32"/>
          <w:szCs w:val="32"/>
          <w:highlight w:val="none"/>
          <w:lang w:val="en-US" w:eastAsia="zh-CN"/>
        </w:rPr>
        <w:t>45.77</w:t>
      </w:r>
      <w:r>
        <w:rPr>
          <w:rFonts w:hint="default" w:ascii="Times New Roman" w:hAnsi="Times New Roman" w:eastAsia="仿宋_GB2312" w:cs="Times New Roman"/>
          <w:b w:val="0"/>
          <w:bCs w:val="0"/>
          <w:sz w:val="32"/>
          <w:szCs w:val="32"/>
          <w:highlight w:val="none"/>
          <w:lang w:val="en-US" w:eastAsia="zh-CN"/>
        </w:rPr>
        <w:t>万元，预算执行率</w:t>
      </w:r>
      <w:r>
        <w:rPr>
          <w:rFonts w:hint="eastAsia" w:ascii="Times New Roman" w:hAnsi="Times New Roman" w:eastAsia="仿宋_GB2312" w:cs="Times New Roman"/>
          <w:b w:val="0"/>
          <w:bCs w:val="0"/>
          <w:sz w:val="32"/>
          <w:szCs w:val="32"/>
          <w:highlight w:val="none"/>
          <w:lang w:val="en-US" w:eastAsia="zh-CN"/>
        </w:rPr>
        <w:t>57.21</w:t>
      </w:r>
      <w:r>
        <w:rPr>
          <w:rFonts w:hint="default" w:ascii="Times New Roman" w:hAnsi="Times New Roman" w:eastAsia="仿宋_GB2312" w:cs="Times New Roman"/>
          <w:b w:val="0"/>
          <w:bCs w:val="0"/>
          <w:sz w:val="32"/>
          <w:szCs w:val="32"/>
          <w:highlight w:val="none"/>
          <w:lang w:val="en-US" w:eastAsia="zh-CN"/>
        </w:rPr>
        <w:t>%，预算用于</w:t>
      </w:r>
      <w:r>
        <w:rPr>
          <w:rFonts w:hint="eastAsia" w:eastAsia="仿宋_GB2312" w:cs="Times New Roman"/>
          <w:b w:val="0"/>
          <w:bCs w:val="0"/>
          <w:sz w:val="32"/>
          <w:szCs w:val="32"/>
          <w:highlight w:val="none"/>
          <w:lang w:val="en-US" w:eastAsia="zh-CN"/>
        </w:rPr>
        <w:t>保持单位正常运转。</w:t>
      </w:r>
    </w:p>
    <w:p>
      <w:pPr>
        <w:numPr>
          <w:ilvl w:val="0"/>
          <w:numId w:val="0"/>
        </w:numPr>
        <w:tabs>
          <w:tab w:val="left" w:pos="3570"/>
        </w:tabs>
        <w:adjustRightInd w:val="0"/>
        <w:snapToGrid w:val="0"/>
        <w:spacing w:line="600" w:lineRule="exact"/>
        <w:ind w:firstLine="640" w:firstLineChars="200"/>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重大矛盾调处中心</w:t>
      </w:r>
      <w:r>
        <w:rPr>
          <w:rFonts w:hint="default" w:ascii="Times New Roman" w:hAnsi="Times New Roman" w:eastAsia="仿宋_GB2312" w:cs="Times New Roman"/>
          <w:b w:val="0"/>
          <w:bCs w:val="0"/>
          <w:sz w:val="32"/>
          <w:szCs w:val="32"/>
          <w:highlight w:val="none"/>
          <w:lang w:val="en-US" w:eastAsia="zh-CN"/>
        </w:rPr>
        <w:t>经费</w:t>
      </w:r>
      <w:r>
        <w:rPr>
          <w:rFonts w:hint="eastAsia" w:eastAsia="仿宋_GB2312" w:cs="Times New Roman"/>
          <w:b w:val="0"/>
          <w:bCs w:val="0"/>
          <w:sz w:val="32"/>
          <w:szCs w:val="32"/>
          <w:highlight w:val="none"/>
          <w:lang w:val="en-US" w:eastAsia="zh-CN"/>
        </w:rPr>
        <w:t>40</w:t>
      </w:r>
      <w:r>
        <w:rPr>
          <w:rFonts w:hint="default" w:ascii="Times New Roman" w:hAnsi="Times New Roman" w:eastAsia="仿宋_GB2312" w:cs="Times New Roman"/>
          <w:b w:val="0"/>
          <w:bCs w:val="0"/>
          <w:sz w:val="32"/>
          <w:szCs w:val="32"/>
          <w:highlight w:val="none"/>
          <w:lang w:val="en-US" w:eastAsia="zh-CN"/>
        </w:rPr>
        <w:t>万元，实际支出</w:t>
      </w:r>
      <w:r>
        <w:rPr>
          <w:rFonts w:hint="eastAsia" w:eastAsia="仿宋_GB2312" w:cs="Times New Roman"/>
          <w:b w:val="0"/>
          <w:bCs w:val="0"/>
          <w:sz w:val="32"/>
          <w:szCs w:val="32"/>
          <w:highlight w:val="none"/>
          <w:lang w:val="en-US" w:eastAsia="zh-CN"/>
        </w:rPr>
        <w:t>35.54</w:t>
      </w:r>
      <w:r>
        <w:rPr>
          <w:rFonts w:hint="default" w:ascii="Times New Roman" w:hAnsi="Times New Roman" w:eastAsia="仿宋_GB2312" w:cs="Times New Roman"/>
          <w:b w:val="0"/>
          <w:bCs w:val="0"/>
          <w:sz w:val="32"/>
          <w:szCs w:val="32"/>
          <w:highlight w:val="none"/>
          <w:lang w:val="en-US" w:eastAsia="zh-CN"/>
        </w:rPr>
        <w:t>万元，预算执行率</w:t>
      </w:r>
      <w:r>
        <w:rPr>
          <w:rFonts w:hint="eastAsia" w:eastAsia="仿宋_GB2312" w:cs="Times New Roman"/>
          <w:b w:val="0"/>
          <w:bCs w:val="0"/>
          <w:sz w:val="32"/>
          <w:szCs w:val="32"/>
          <w:highlight w:val="none"/>
          <w:lang w:val="en-US" w:eastAsia="zh-CN"/>
        </w:rPr>
        <w:t>88.85</w:t>
      </w:r>
      <w:r>
        <w:rPr>
          <w:rFonts w:hint="default" w:ascii="Times New Roman" w:hAnsi="Times New Roman" w:eastAsia="仿宋_GB2312" w:cs="Times New Roman"/>
          <w:b w:val="0"/>
          <w:bCs w:val="0"/>
          <w:sz w:val="32"/>
          <w:szCs w:val="32"/>
          <w:highlight w:val="none"/>
          <w:lang w:val="en-US" w:eastAsia="zh-CN"/>
        </w:rPr>
        <w:t>%，预算用于</w:t>
      </w:r>
      <w:r>
        <w:rPr>
          <w:rFonts w:hint="eastAsia" w:eastAsia="仿宋_GB2312" w:cs="Times New Roman"/>
          <w:b w:val="0"/>
          <w:bCs w:val="0"/>
          <w:sz w:val="32"/>
          <w:szCs w:val="32"/>
          <w:highlight w:val="none"/>
          <w:lang w:val="en-US" w:eastAsia="zh-CN"/>
        </w:rPr>
        <w:t>保障重大矛盾调处工作的顺利开展。</w:t>
      </w:r>
    </w:p>
    <w:p>
      <w:pPr>
        <w:pStyle w:val="2"/>
        <w:keepNext w:val="0"/>
        <w:keepLines w:val="0"/>
        <w:pageBreakBefore w:val="0"/>
        <w:widowControl w:val="0"/>
        <w:kinsoku/>
        <w:wordWrap/>
        <w:overflowPunct/>
        <w:topLinePunct w:val="0"/>
        <w:autoSpaceDE/>
        <w:autoSpaceDN/>
        <w:bidi w:val="0"/>
        <w:spacing w:line="600" w:lineRule="exact"/>
        <w:ind w:firstLine="641" w:firstLineChars="200"/>
        <w:textAlignment w:val="auto"/>
        <w:rPr>
          <w:rFonts w:hint="eastAsia" w:eastAsia="仿宋" w:cs="Times New Roman"/>
          <w:b w:val="0"/>
          <w:bCs/>
          <w:kern w:val="2"/>
          <w:sz w:val="32"/>
          <w:szCs w:val="32"/>
          <w:lang w:val="en-US" w:eastAsia="zh-CN" w:bidi="ar-SA"/>
        </w:rPr>
      </w:pPr>
      <w:r>
        <w:rPr>
          <w:rFonts w:hint="eastAsia" w:ascii="Times New Roman" w:hAnsi="Times New Roman" w:eastAsia="华文仿宋" w:cs="Times New Roman"/>
          <w:b/>
          <w:bCs/>
          <w:i w:val="0"/>
          <w:iCs w:val="0"/>
          <w:caps w:val="0"/>
          <w:color w:val="000000"/>
          <w:spacing w:val="0"/>
          <w:sz w:val="32"/>
          <w:szCs w:val="32"/>
          <w:shd w:val="clear" w:fill="FFFFFF"/>
          <w:lang w:val="en-US" w:eastAsia="zh-CN"/>
        </w:rPr>
        <w:t>4</w:t>
      </w:r>
      <w:r>
        <w:rPr>
          <w:rFonts w:hint="default" w:ascii="Times New Roman" w:hAnsi="Times New Roman" w:eastAsia="华文仿宋" w:cs="Times New Roman"/>
          <w:b/>
          <w:bCs/>
          <w:i w:val="0"/>
          <w:iCs w:val="0"/>
          <w:caps w:val="0"/>
          <w:color w:val="000000"/>
          <w:spacing w:val="0"/>
          <w:sz w:val="32"/>
          <w:szCs w:val="32"/>
          <w:shd w:val="clear" w:fill="FFFFFF"/>
          <w:lang w:val="en-US" w:eastAsia="zh-CN"/>
        </w:rPr>
        <w:t>、“三公经费”预算支出情况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pPr>
      <w:r>
        <w:rPr>
          <w:rFonts w:hint="eastAsia" w:eastAsia="仿宋" w:cs="Times New Roman"/>
          <w:b w:val="0"/>
          <w:bCs/>
          <w:sz w:val="32"/>
          <w:szCs w:val="32"/>
          <w:highlight w:val="none"/>
          <w:lang w:val="en-US" w:eastAsia="zh-CN"/>
        </w:rPr>
        <w:t>邵东市</w:t>
      </w:r>
      <w:r>
        <w:rPr>
          <w:rFonts w:hint="eastAsia" w:eastAsia="仿宋_GB2312"/>
          <w:sz w:val="32"/>
          <w:szCs w:val="32"/>
          <w:lang w:val="en-US" w:eastAsia="zh-CN"/>
        </w:rPr>
        <w:t>城市管理和综合执法局</w:t>
      </w:r>
      <w:r>
        <w:rPr>
          <w:rFonts w:hint="default" w:ascii="Times New Roman" w:hAnsi="Times New Roman" w:eastAsia="仿宋" w:cs="Times New Roman"/>
          <w:b w:val="0"/>
          <w:bCs/>
          <w:sz w:val="32"/>
          <w:szCs w:val="32"/>
          <w:highlight w:val="none"/>
          <w:lang w:val="en-US" w:eastAsia="zh-CN"/>
        </w:rPr>
        <w:t>2021年度“三公经费”预算</w:t>
      </w:r>
      <w:r>
        <w:rPr>
          <w:rFonts w:hint="eastAsia" w:eastAsia="仿宋"/>
          <w:bCs/>
          <w:color w:val="auto"/>
          <w:sz w:val="32"/>
          <w:szCs w:val="32"/>
          <w:highlight w:val="none"/>
          <w:lang w:val="en-US" w:eastAsia="zh-CN"/>
        </w:rPr>
        <w:t>13.06</w:t>
      </w:r>
      <w:r>
        <w:rPr>
          <w:rFonts w:hint="default" w:ascii="Times New Roman" w:hAnsi="Times New Roman" w:eastAsia="仿宋" w:cs="Times New Roman"/>
          <w:b w:val="0"/>
          <w:bCs/>
          <w:sz w:val="32"/>
          <w:szCs w:val="32"/>
          <w:highlight w:val="none"/>
          <w:lang w:val="en-US" w:eastAsia="zh-CN"/>
        </w:rPr>
        <w:t>万元，实际支出</w:t>
      </w:r>
      <w:r>
        <w:rPr>
          <w:rFonts w:hint="eastAsia" w:eastAsia="仿宋"/>
          <w:bCs/>
          <w:color w:val="auto"/>
          <w:sz w:val="32"/>
          <w:szCs w:val="32"/>
          <w:highlight w:val="none"/>
          <w:lang w:val="en-US" w:eastAsia="zh-CN"/>
        </w:rPr>
        <w:t>0.32</w:t>
      </w:r>
      <w:r>
        <w:rPr>
          <w:rFonts w:hint="default" w:ascii="Times New Roman" w:hAnsi="Times New Roman" w:eastAsia="仿宋" w:cs="Times New Roman"/>
          <w:b w:val="0"/>
          <w:bCs/>
          <w:sz w:val="32"/>
          <w:szCs w:val="32"/>
          <w:highlight w:val="none"/>
          <w:lang w:val="en-US" w:eastAsia="zh-CN"/>
        </w:rPr>
        <w:t>万元，“三公经费”控制率为</w:t>
      </w:r>
      <w:r>
        <w:rPr>
          <w:rFonts w:hint="eastAsia" w:eastAsia="仿宋"/>
          <w:bCs/>
          <w:color w:val="auto"/>
          <w:sz w:val="32"/>
          <w:szCs w:val="32"/>
          <w:highlight w:val="none"/>
          <w:lang w:val="en-US" w:eastAsia="zh-CN"/>
        </w:rPr>
        <w:t>2.45</w:t>
      </w:r>
      <w:r>
        <w:rPr>
          <w:rFonts w:hint="eastAsia" w:eastAsia="仿宋"/>
          <w:bCs/>
          <w:color w:val="auto"/>
          <w:sz w:val="32"/>
          <w:szCs w:val="32"/>
          <w:highlight w:val="none"/>
        </w:rPr>
        <w:t>%</w:t>
      </w:r>
      <w:r>
        <w:rPr>
          <w:rFonts w:hint="default" w:ascii="Times New Roman" w:hAnsi="Times New Roman" w:eastAsia="仿宋" w:cs="Times New Roman"/>
          <w:b w:val="0"/>
          <w:bCs/>
          <w:sz w:val="32"/>
          <w:szCs w:val="32"/>
          <w:highlight w:val="none"/>
          <w:lang w:val="en-US" w:eastAsia="zh-CN"/>
        </w:rPr>
        <w:t>%，其中公务接待费年初预算</w:t>
      </w:r>
      <w:r>
        <w:rPr>
          <w:rFonts w:hint="eastAsia" w:eastAsia="仿宋"/>
          <w:bCs/>
          <w:color w:val="auto"/>
          <w:sz w:val="32"/>
          <w:szCs w:val="32"/>
          <w:highlight w:val="none"/>
          <w:lang w:val="en-US" w:eastAsia="zh-CN"/>
        </w:rPr>
        <w:t>13.06</w:t>
      </w:r>
      <w:r>
        <w:rPr>
          <w:rFonts w:hint="default" w:ascii="Times New Roman" w:hAnsi="Times New Roman" w:eastAsia="仿宋" w:cs="Times New Roman"/>
          <w:b w:val="0"/>
          <w:bCs/>
          <w:sz w:val="32"/>
          <w:szCs w:val="32"/>
          <w:highlight w:val="none"/>
          <w:lang w:val="en-US" w:eastAsia="zh-CN"/>
        </w:rPr>
        <w:t>万元，实际支出</w:t>
      </w:r>
      <w:r>
        <w:rPr>
          <w:rFonts w:hint="eastAsia" w:eastAsia="仿宋"/>
          <w:bCs/>
          <w:color w:val="auto"/>
          <w:sz w:val="32"/>
          <w:szCs w:val="32"/>
          <w:highlight w:val="none"/>
          <w:lang w:val="en-US" w:eastAsia="zh-CN"/>
        </w:rPr>
        <w:t>0.32</w:t>
      </w:r>
      <w:r>
        <w:rPr>
          <w:rFonts w:hint="default" w:ascii="Times New Roman" w:hAnsi="Times New Roman" w:eastAsia="仿宋" w:cs="Times New Roman"/>
          <w:b w:val="0"/>
          <w:bCs/>
          <w:sz w:val="32"/>
          <w:szCs w:val="32"/>
          <w:highlight w:val="none"/>
          <w:lang w:val="en-US" w:eastAsia="zh-CN"/>
        </w:rPr>
        <w:t>万元，完成预算</w:t>
      </w:r>
      <w:r>
        <w:rPr>
          <w:rFonts w:hint="eastAsia" w:eastAsia="仿宋"/>
          <w:bCs/>
          <w:color w:val="auto"/>
          <w:sz w:val="32"/>
          <w:szCs w:val="32"/>
          <w:highlight w:val="none"/>
          <w:lang w:val="en-US" w:eastAsia="zh-CN"/>
        </w:rPr>
        <w:t>2.45</w:t>
      </w:r>
      <w:r>
        <w:rPr>
          <w:rFonts w:hint="eastAsia" w:eastAsia="仿宋"/>
          <w:bCs/>
          <w:color w:val="auto"/>
          <w:sz w:val="32"/>
          <w:szCs w:val="32"/>
          <w:highlight w:val="none"/>
        </w:rPr>
        <w:t>%</w:t>
      </w:r>
      <w:r>
        <w:rPr>
          <w:rFonts w:hint="default" w:ascii="Times New Roman" w:hAnsi="Times New Roman" w:eastAsia="仿宋" w:cs="Times New Roman"/>
          <w:b w:val="0"/>
          <w:bCs/>
          <w:sz w:val="32"/>
          <w:szCs w:val="32"/>
          <w:highlight w:val="none"/>
          <w:lang w:val="en-US" w:eastAsia="zh-CN"/>
        </w:rPr>
        <w:t>。</w:t>
      </w:r>
    </w:p>
    <w:p>
      <w:pPr>
        <w:adjustRightInd w:val="0"/>
        <w:snapToGrid w:val="0"/>
        <w:spacing w:line="600" w:lineRule="exact"/>
        <w:jc w:val="center"/>
        <w:rPr>
          <w:b/>
          <w:sz w:val="24"/>
          <w:highlight w:val="none"/>
        </w:rPr>
      </w:pPr>
      <w:r>
        <w:rPr>
          <w:rFonts w:eastAsia="仿宋"/>
          <w:b/>
          <w:sz w:val="24"/>
          <w:highlight w:val="none"/>
        </w:rPr>
        <w:t>2021年“三公经费”决算与预算数据、上年数对比情况</w:t>
      </w:r>
    </w:p>
    <w:tbl>
      <w:tblPr>
        <w:tblStyle w:val="11"/>
        <w:tblW w:w="4998" w:type="pct"/>
        <w:tblInd w:w="0" w:type="dxa"/>
        <w:tblLayout w:type="autofit"/>
        <w:tblCellMar>
          <w:top w:w="0" w:type="dxa"/>
          <w:left w:w="108" w:type="dxa"/>
          <w:bottom w:w="0" w:type="dxa"/>
          <w:right w:w="108" w:type="dxa"/>
        </w:tblCellMar>
      </w:tblPr>
      <w:tblGrid>
        <w:gridCol w:w="1497"/>
        <w:gridCol w:w="975"/>
        <w:gridCol w:w="984"/>
        <w:gridCol w:w="921"/>
        <w:gridCol w:w="956"/>
        <w:gridCol w:w="1181"/>
        <w:gridCol w:w="823"/>
        <w:gridCol w:w="1182"/>
      </w:tblGrid>
      <w:tr>
        <w:tblPrEx>
          <w:tblCellMar>
            <w:top w:w="0" w:type="dxa"/>
            <w:left w:w="108" w:type="dxa"/>
            <w:bottom w:w="0" w:type="dxa"/>
            <w:right w:w="108" w:type="dxa"/>
          </w:tblCellMar>
        </w:tblPrEx>
        <w:trPr>
          <w:trHeight w:val="324" w:hRule="atLeast"/>
        </w:trPr>
        <w:tc>
          <w:tcPr>
            <w:tcW w:w="878" w:type="pct"/>
            <w:tcBorders>
              <w:top w:val="nil"/>
              <w:left w:val="nil"/>
              <w:bottom w:val="nil"/>
              <w:right w:val="nil"/>
            </w:tcBorders>
            <w:shd w:val="clear" w:color="auto" w:fill="auto"/>
            <w:noWrap/>
            <w:vAlign w:val="center"/>
          </w:tcPr>
          <w:p>
            <w:pPr>
              <w:jc w:val="center"/>
              <w:rPr>
                <w:color w:val="000000"/>
                <w:sz w:val="24"/>
                <w:highlight w:val="none"/>
              </w:rPr>
            </w:pPr>
          </w:p>
        </w:tc>
        <w:tc>
          <w:tcPr>
            <w:tcW w:w="572" w:type="pct"/>
            <w:tcBorders>
              <w:top w:val="nil"/>
              <w:left w:val="nil"/>
              <w:bottom w:val="nil"/>
              <w:right w:val="nil"/>
            </w:tcBorders>
            <w:shd w:val="clear" w:color="auto" w:fill="auto"/>
            <w:noWrap/>
            <w:vAlign w:val="center"/>
          </w:tcPr>
          <w:p>
            <w:pPr>
              <w:jc w:val="center"/>
              <w:rPr>
                <w:color w:val="000000"/>
                <w:sz w:val="24"/>
                <w:highlight w:val="none"/>
              </w:rPr>
            </w:pPr>
          </w:p>
        </w:tc>
        <w:tc>
          <w:tcPr>
            <w:tcW w:w="577" w:type="pct"/>
            <w:tcBorders>
              <w:top w:val="nil"/>
              <w:left w:val="nil"/>
              <w:bottom w:val="nil"/>
              <w:right w:val="nil"/>
            </w:tcBorders>
            <w:shd w:val="clear" w:color="auto" w:fill="auto"/>
            <w:noWrap/>
            <w:vAlign w:val="center"/>
          </w:tcPr>
          <w:p>
            <w:pPr>
              <w:jc w:val="center"/>
              <w:rPr>
                <w:color w:val="000000"/>
                <w:sz w:val="24"/>
                <w:highlight w:val="none"/>
              </w:rPr>
            </w:pPr>
          </w:p>
        </w:tc>
        <w:tc>
          <w:tcPr>
            <w:tcW w:w="540" w:type="pct"/>
            <w:tcBorders>
              <w:top w:val="nil"/>
              <w:left w:val="nil"/>
              <w:bottom w:val="nil"/>
              <w:right w:val="nil"/>
            </w:tcBorders>
            <w:shd w:val="clear" w:color="auto" w:fill="auto"/>
            <w:noWrap/>
            <w:vAlign w:val="center"/>
          </w:tcPr>
          <w:p>
            <w:pPr>
              <w:jc w:val="center"/>
              <w:rPr>
                <w:color w:val="000000"/>
                <w:sz w:val="24"/>
                <w:highlight w:val="none"/>
              </w:rPr>
            </w:pPr>
          </w:p>
        </w:tc>
        <w:tc>
          <w:tcPr>
            <w:tcW w:w="561" w:type="pct"/>
            <w:tcBorders>
              <w:top w:val="nil"/>
              <w:left w:val="nil"/>
              <w:bottom w:val="nil"/>
              <w:right w:val="nil"/>
            </w:tcBorders>
            <w:shd w:val="clear" w:color="auto" w:fill="auto"/>
            <w:noWrap/>
            <w:vAlign w:val="center"/>
          </w:tcPr>
          <w:p>
            <w:pPr>
              <w:jc w:val="center"/>
              <w:rPr>
                <w:color w:val="000000"/>
                <w:sz w:val="24"/>
                <w:highlight w:val="none"/>
              </w:rPr>
            </w:pPr>
          </w:p>
        </w:tc>
        <w:tc>
          <w:tcPr>
            <w:tcW w:w="693" w:type="pct"/>
            <w:tcBorders>
              <w:top w:val="nil"/>
              <w:left w:val="nil"/>
              <w:bottom w:val="nil"/>
              <w:right w:val="nil"/>
            </w:tcBorders>
            <w:shd w:val="clear" w:color="auto" w:fill="auto"/>
            <w:noWrap/>
            <w:vAlign w:val="center"/>
          </w:tcPr>
          <w:p>
            <w:pPr>
              <w:jc w:val="center"/>
              <w:rPr>
                <w:color w:val="000000"/>
                <w:sz w:val="24"/>
                <w:highlight w:val="none"/>
              </w:rPr>
            </w:pPr>
          </w:p>
        </w:tc>
        <w:tc>
          <w:tcPr>
            <w:tcW w:w="1176" w:type="pct"/>
            <w:gridSpan w:val="2"/>
            <w:tcBorders>
              <w:top w:val="nil"/>
              <w:left w:val="nil"/>
              <w:bottom w:val="nil"/>
              <w:right w:val="nil"/>
            </w:tcBorders>
            <w:shd w:val="clear" w:color="auto" w:fill="auto"/>
            <w:noWrap/>
            <w:vAlign w:val="center"/>
          </w:tcPr>
          <w:p>
            <w:pPr>
              <w:widowControl/>
              <w:jc w:val="center"/>
              <w:textAlignment w:val="center"/>
              <w:rPr>
                <w:color w:val="000000"/>
                <w:sz w:val="24"/>
                <w:highlight w:val="none"/>
              </w:rPr>
            </w:pPr>
            <w:r>
              <w:rPr>
                <w:rFonts w:eastAsia="仿宋"/>
                <w:color w:val="000000"/>
                <w:kern w:val="0"/>
                <w:sz w:val="24"/>
                <w:highlight w:val="none"/>
                <w:lang w:bidi="ar"/>
              </w:rPr>
              <w:t>单位：</w:t>
            </w:r>
            <w:r>
              <w:rPr>
                <w:rFonts w:hint="eastAsia" w:eastAsia="仿宋"/>
                <w:color w:val="000000"/>
                <w:kern w:val="0"/>
                <w:sz w:val="24"/>
                <w:highlight w:val="none"/>
                <w:lang w:val="en-US" w:eastAsia="zh-CN" w:bidi="ar"/>
              </w:rPr>
              <w:t>万</w:t>
            </w:r>
            <w:r>
              <w:rPr>
                <w:rFonts w:eastAsia="仿宋"/>
                <w:color w:val="000000"/>
                <w:kern w:val="0"/>
                <w:sz w:val="24"/>
                <w:highlight w:val="none"/>
                <w:lang w:bidi="ar"/>
              </w:rPr>
              <w:t>元</w:t>
            </w:r>
          </w:p>
        </w:tc>
      </w:tr>
      <w:tr>
        <w:tblPrEx>
          <w:tblCellMar>
            <w:top w:w="0" w:type="dxa"/>
            <w:left w:w="108" w:type="dxa"/>
            <w:bottom w:w="0" w:type="dxa"/>
            <w:right w:w="108" w:type="dxa"/>
          </w:tblCellMar>
        </w:tblPrEx>
        <w:trPr>
          <w:trHeight w:val="900" w:hRule="atLeast"/>
        </w:trPr>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项目</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2020</w:t>
            </w:r>
            <w:r>
              <w:rPr>
                <w:rFonts w:eastAsia="仿宋"/>
                <w:color w:val="000000"/>
                <w:kern w:val="0"/>
                <w:sz w:val="24"/>
                <w:highlight w:val="none"/>
                <w:lang w:bidi="ar"/>
              </w:rPr>
              <w:t>年</w:t>
            </w:r>
          </w:p>
          <w:p>
            <w:pPr>
              <w:widowControl/>
              <w:jc w:val="center"/>
              <w:textAlignment w:val="center"/>
              <w:rPr>
                <w:color w:val="000000"/>
                <w:sz w:val="24"/>
                <w:highlight w:val="none"/>
              </w:rPr>
            </w:pPr>
            <w:r>
              <w:rPr>
                <w:rFonts w:eastAsia="仿宋"/>
                <w:color w:val="000000"/>
                <w:kern w:val="0"/>
                <w:sz w:val="24"/>
                <w:highlight w:val="none"/>
                <w:lang w:bidi="ar"/>
              </w:rPr>
              <w:t>决算</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2021</w:t>
            </w:r>
            <w:r>
              <w:rPr>
                <w:rFonts w:eastAsia="仿宋"/>
                <w:color w:val="000000"/>
                <w:kern w:val="0"/>
                <w:sz w:val="24"/>
                <w:highlight w:val="none"/>
                <w:lang w:bidi="ar"/>
              </w:rPr>
              <w:t>年</w:t>
            </w:r>
          </w:p>
          <w:p>
            <w:pPr>
              <w:widowControl/>
              <w:jc w:val="center"/>
              <w:textAlignment w:val="center"/>
              <w:rPr>
                <w:color w:val="000000"/>
                <w:sz w:val="24"/>
                <w:highlight w:val="none"/>
              </w:rPr>
            </w:pPr>
            <w:r>
              <w:rPr>
                <w:rFonts w:eastAsia="仿宋"/>
                <w:color w:val="000000"/>
                <w:kern w:val="0"/>
                <w:sz w:val="24"/>
                <w:highlight w:val="none"/>
                <w:lang w:bidi="ar"/>
              </w:rPr>
              <w:t>预算</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2021</w:t>
            </w:r>
            <w:r>
              <w:rPr>
                <w:rFonts w:eastAsia="仿宋"/>
                <w:color w:val="000000"/>
                <w:kern w:val="0"/>
                <w:sz w:val="24"/>
                <w:highlight w:val="none"/>
                <w:lang w:bidi="ar"/>
              </w:rPr>
              <w:t>年</w:t>
            </w:r>
          </w:p>
          <w:p>
            <w:pPr>
              <w:widowControl/>
              <w:jc w:val="center"/>
              <w:textAlignment w:val="center"/>
              <w:rPr>
                <w:color w:val="000000"/>
                <w:sz w:val="24"/>
                <w:highlight w:val="none"/>
              </w:rPr>
            </w:pPr>
            <w:r>
              <w:rPr>
                <w:rFonts w:eastAsia="仿宋"/>
                <w:color w:val="000000"/>
                <w:kern w:val="0"/>
                <w:sz w:val="24"/>
                <w:highlight w:val="none"/>
                <w:lang w:bidi="ar"/>
              </w:rPr>
              <w:t>决算</w:t>
            </w:r>
          </w:p>
        </w:tc>
        <w:tc>
          <w:tcPr>
            <w:tcW w:w="12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2021</w:t>
            </w:r>
            <w:r>
              <w:rPr>
                <w:rFonts w:eastAsia="仿宋"/>
                <w:color w:val="000000"/>
                <w:kern w:val="0"/>
                <w:sz w:val="24"/>
                <w:highlight w:val="none"/>
                <w:lang w:bidi="ar"/>
              </w:rPr>
              <w:t>年决算与</w:t>
            </w:r>
            <w:r>
              <w:rPr>
                <w:color w:val="000000"/>
                <w:kern w:val="0"/>
                <w:sz w:val="24"/>
                <w:highlight w:val="none"/>
                <w:lang w:bidi="ar"/>
              </w:rPr>
              <w:t>2021</w:t>
            </w:r>
            <w:r>
              <w:rPr>
                <w:rFonts w:eastAsia="仿宋"/>
                <w:color w:val="000000"/>
                <w:kern w:val="0"/>
                <w:sz w:val="24"/>
                <w:highlight w:val="none"/>
                <w:lang w:bidi="ar"/>
              </w:rPr>
              <w:t>年预算相比</w:t>
            </w:r>
          </w:p>
          <w:p>
            <w:pPr>
              <w:widowControl/>
              <w:jc w:val="center"/>
              <w:textAlignment w:val="center"/>
              <w:rPr>
                <w:color w:val="000000"/>
                <w:sz w:val="24"/>
                <w:highlight w:val="none"/>
              </w:rPr>
            </w:pPr>
            <w:r>
              <w:rPr>
                <w:rFonts w:eastAsia="仿宋"/>
                <w:color w:val="000000"/>
                <w:kern w:val="0"/>
                <w:sz w:val="24"/>
                <w:highlight w:val="none"/>
                <w:lang w:bidi="ar"/>
              </w:rPr>
              <w:t>（增加</w:t>
            </w:r>
            <w:r>
              <w:rPr>
                <w:color w:val="000000"/>
                <w:kern w:val="0"/>
                <w:sz w:val="24"/>
                <w:highlight w:val="none"/>
                <w:lang w:bidi="ar"/>
              </w:rPr>
              <w:t>+</w:t>
            </w:r>
            <w:r>
              <w:rPr>
                <w:rFonts w:eastAsia="仿宋"/>
                <w:color w:val="000000"/>
                <w:kern w:val="0"/>
                <w:sz w:val="24"/>
                <w:highlight w:val="none"/>
                <w:lang w:bidi="ar"/>
              </w:rPr>
              <w:t>或减少</w:t>
            </w:r>
            <w:r>
              <w:rPr>
                <w:color w:val="000000"/>
                <w:kern w:val="0"/>
                <w:sz w:val="24"/>
                <w:highlight w:val="none"/>
                <w:lang w:bidi="ar"/>
              </w:rPr>
              <w:t>-</w:t>
            </w:r>
            <w:r>
              <w:rPr>
                <w:rFonts w:eastAsia="仿宋"/>
                <w:color w:val="000000"/>
                <w:kern w:val="0"/>
                <w:sz w:val="24"/>
                <w:highlight w:val="none"/>
                <w:lang w:bidi="ar"/>
              </w:rPr>
              <w:t>）</w:t>
            </w:r>
          </w:p>
        </w:tc>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2021</w:t>
            </w:r>
            <w:r>
              <w:rPr>
                <w:rFonts w:eastAsia="仿宋"/>
                <w:color w:val="000000"/>
                <w:kern w:val="0"/>
                <w:sz w:val="24"/>
                <w:highlight w:val="none"/>
                <w:lang w:bidi="ar"/>
              </w:rPr>
              <w:t>决算与</w:t>
            </w:r>
            <w:r>
              <w:rPr>
                <w:color w:val="000000"/>
                <w:kern w:val="0"/>
                <w:sz w:val="24"/>
                <w:highlight w:val="none"/>
                <w:lang w:bidi="ar"/>
              </w:rPr>
              <w:t>2020</w:t>
            </w:r>
            <w:r>
              <w:rPr>
                <w:rFonts w:eastAsia="仿宋"/>
                <w:color w:val="000000"/>
                <w:kern w:val="0"/>
                <w:sz w:val="24"/>
                <w:highlight w:val="none"/>
                <w:lang w:bidi="ar"/>
              </w:rPr>
              <w:t>年决算相比</w:t>
            </w:r>
          </w:p>
          <w:p>
            <w:pPr>
              <w:widowControl/>
              <w:jc w:val="center"/>
              <w:textAlignment w:val="center"/>
              <w:rPr>
                <w:color w:val="000000"/>
                <w:sz w:val="24"/>
                <w:highlight w:val="none"/>
              </w:rPr>
            </w:pPr>
            <w:r>
              <w:rPr>
                <w:rFonts w:eastAsia="仿宋"/>
                <w:color w:val="000000"/>
                <w:kern w:val="0"/>
                <w:sz w:val="24"/>
                <w:highlight w:val="none"/>
                <w:lang w:bidi="ar"/>
              </w:rPr>
              <w:t>（增加</w:t>
            </w:r>
            <w:r>
              <w:rPr>
                <w:color w:val="000000"/>
                <w:kern w:val="0"/>
                <w:sz w:val="24"/>
                <w:highlight w:val="none"/>
                <w:lang w:bidi="ar"/>
              </w:rPr>
              <w:t>+</w:t>
            </w:r>
            <w:r>
              <w:rPr>
                <w:rFonts w:eastAsia="仿宋"/>
                <w:color w:val="000000"/>
                <w:kern w:val="0"/>
                <w:sz w:val="24"/>
                <w:highlight w:val="none"/>
                <w:lang w:bidi="ar"/>
              </w:rPr>
              <w:t>或减少</w:t>
            </w:r>
            <w:r>
              <w:rPr>
                <w:color w:val="000000"/>
                <w:kern w:val="0"/>
                <w:sz w:val="24"/>
                <w:highlight w:val="none"/>
                <w:lang w:bidi="ar"/>
              </w:rPr>
              <w:t>-</w:t>
            </w:r>
            <w:r>
              <w:rPr>
                <w:rFonts w:eastAsia="仿宋"/>
                <w:color w:val="000000"/>
                <w:kern w:val="0"/>
                <w:sz w:val="24"/>
                <w:highlight w:val="none"/>
                <w:lang w:bidi="ar"/>
              </w:rPr>
              <w:t>）</w:t>
            </w:r>
          </w:p>
        </w:tc>
      </w:tr>
      <w:tr>
        <w:tblPrEx>
          <w:tblCellMar>
            <w:top w:w="0" w:type="dxa"/>
            <w:left w:w="108" w:type="dxa"/>
            <w:bottom w:w="0" w:type="dxa"/>
            <w:right w:w="108" w:type="dxa"/>
          </w:tblCellMar>
        </w:tblPrEx>
        <w:trPr>
          <w:trHeight w:val="560" w:hRule="atLeast"/>
        </w:trPr>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
                <w:color w:val="000000"/>
                <w:sz w:val="24"/>
                <w:highlight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highlight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highlight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highlight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金额</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金额</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比例</w:t>
            </w:r>
          </w:p>
        </w:tc>
      </w:tr>
      <w:tr>
        <w:tblPrEx>
          <w:tblCellMar>
            <w:top w:w="0" w:type="dxa"/>
            <w:left w:w="108" w:type="dxa"/>
            <w:bottom w:w="0" w:type="dxa"/>
            <w:right w:w="108" w:type="dxa"/>
          </w:tblCellMar>
        </w:tblPrEx>
        <w:trPr>
          <w:trHeight w:val="560" w:hRule="atLeast"/>
        </w:trPr>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highlight w:val="none"/>
              </w:rPr>
            </w:pPr>
            <w:r>
              <w:rPr>
                <w:rFonts w:eastAsia="仿宋"/>
                <w:color w:val="000000"/>
                <w:kern w:val="0"/>
                <w:sz w:val="24"/>
                <w:highlight w:val="none"/>
                <w:lang w:bidi="ar"/>
              </w:rPr>
              <w:t>公务接待费</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color w:val="000000"/>
                <w:sz w:val="24"/>
                <w:highlight w:val="none"/>
                <w:lang w:val="en-US"/>
              </w:rPr>
            </w:pPr>
            <w:r>
              <w:rPr>
                <w:rFonts w:hint="eastAsia"/>
                <w:color w:val="000000"/>
                <w:kern w:val="0"/>
                <w:sz w:val="24"/>
                <w:highlight w:val="none"/>
                <w:lang w:val="en-US" w:eastAsia="zh-CN" w:bidi="ar"/>
              </w:rPr>
              <w:t>0.30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color w:val="000000"/>
                <w:sz w:val="24"/>
                <w:highlight w:val="none"/>
                <w:lang w:val="en-US"/>
              </w:rPr>
            </w:pPr>
            <w:r>
              <w:rPr>
                <w:rFonts w:hint="eastAsia"/>
                <w:color w:val="000000"/>
                <w:kern w:val="0"/>
                <w:sz w:val="24"/>
                <w:highlight w:val="none"/>
                <w:lang w:val="en-US" w:eastAsia="zh-CN" w:bidi="ar"/>
              </w:rPr>
              <w:t>13.06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0.32</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r>
              <w:rPr>
                <w:rFonts w:hint="eastAsia"/>
                <w:color w:val="000000"/>
                <w:kern w:val="0"/>
                <w:sz w:val="24"/>
                <w:highlight w:val="none"/>
                <w:lang w:val="en-US" w:eastAsia="zh-CN" w:bidi="ar"/>
              </w:rPr>
              <w:t>12.74</w:t>
            </w:r>
            <w:r>
              <w:rPr>
                <w:color w:val="000000"/>
                <w:kern w:val="0"/>
                <w:sz w:val="24"/>
                <w:highlight w:val="none"/>
                <w:lang w:bidi="ar"/>
              </w:rPr>
              <w:t xml:space="preserve">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r>
              <w:rPr>
                <w:rFonts w:hint="eastAsia"/>
                <w:color w:val="000000"/>
                <w:kern w:val="0"/>
                <w:sz w:val="24"/>
                <w:highlight w:val="none"/>
                <w:lang w:val="en-US" w:eastAsia="zh-CN" w:bidi="ar"/>
              </w:rPr>
              <w:t>97.55</w:t>
            </w:r>
            <w:r>
              <w:rPr>
                <w:color w:val="000000"/>
                <w:kern w:val="0"/>
                <w:sz w:val="24"/>
                <w:highlight w:val="none"/>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+0.02</w:t>
            </w:r>
            <w:r>
              <w:rPr>
                <w:color w:val="000000"/>
                <w:kern w:val="0"/>
                <w:sz w:val="24"/>
                <w:highlight w:val="none"/>
                <w:lang w:bidi="ar"/>
              </w:rPr>
              <w:t xml:space="preserve">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+0.15</w:t>
            </w:r>
            <w:r>
              <w:rPr>
                <w:color w:val="000000"/>
                <w:kern w:val="0"/>
                <w:sz w:val="24"/>
                <w:highlight w:val="none"/>
                <w:lang w:bidi="ar"/>
              </w:rPr>
              <w:t>%</w:t>
            </w:r>
          </w:p>
        </w:tc>
      </w:tr>
      <w:tr>
        <w:tblPrEx>
          <w:tblCellMar>
            <w:top w:w="0" w:type="dxa"/>
            <w:left w:w="108" w:type="dxa"/>
            <w:bottom w:w="0" w:type="dxa"/>
            <w:right w:w="108" w:type="dxa"/>
          </w:tblCellMar>
        </w:tblPrEx>
        <w:trPr>
          <w:trHeight w:val="560" w:hRule="atLeast"/>
        </w:trPr>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highlight w:val="none"/>
              </w:rPr>
            </w:pPr>
            <w:r>
              <w:rPr>
                <w:rFonts w:eastAsia="仿宋"/>
                <w:color w:val="000000"/>
                <w:kern w:val="0"/>
                <w:sz w:val="24"/>
                <w:highlight w:val="none"/>
                <w:lang w:bidi="ar"/>
              </w:rPr>
              <w:t>公务用车运行维护费</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r>
      <w:tr>
        <w:tblPrEx>
          <w:tblCellMar>
            <w:top w:w="0" w:type="dxa"/>
            <w:left w:w="108" w:type="dxa"/>
            <w:bottom w:w="0" w:type="dxa"/>
            <w:right w:w="108" w:type="dxa"/>
          </w:tblCellMar>
        </w:tblPrEx>
        <w:trPr>
          <w:trHeight w:val="560" w:hRule="atLeast"/>
        </w:trPr>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highlight w:val="none"/>
              </w:rPr>
            </w:pPr>
            <w:r>
              <w:rPr>
                <w:rFonts w:eastAsia="仿宋"/>
                <w:color w:val="000000"/>
                <w:kern w:val="0"/>
                <w:sz w:val="24"/>
                <w:highlight w:val="none"/>
                <w:lang w:bidi="ar"/>
              </w:rPr>
              <w:t>因公出国（境)费用</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r>
      <w:tr>
        <w:tblPrEx>
          <w:tblCellMar>
            <w:top w:w="0" w:type="dxa"/>
            <w:left w:w="108" w:type="dxa"/>
            <w:bottom w:w="0" w:type="dxa"/>
            <w:right w:w="108" w:type="dxa"/>
          </w:tblCellMar>
        </w:tblPrEx>
        <w:trPr>
          <w:trHeight w:val="560" w:hRule="atLeast"/>
        </w:trPr>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合计</w:t>
            </w:r>
          </w:p>
        </w:tc>
        <w:tc>
          <w:tcPr>
            <w:tcW w:w="57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sz w:val="24"/>
                <w:highlight w:val="none"/>
                <w:lang w:val="en-US" w:eastAsia="zh-CN"/>
              </w:rPr>
            </w:pPr>
            <w:r>
              <w:rPr>
                <w:rFonts w:hint="eastAsia"/>
                <w:color w:val="000000"/>
                <w:kern w:val="0"/>
                <w:sz w:val="24"/>
                <w:highlight w:val="none"/>
                <w:lang w:val="en-US" w:eastAsia="zh-CN" w:bidi="ar"/>
              </w:rPr>
              <w:t>0.30</w:t>
            </w:r>
          </w:p>
        </w:tc>
        <w:tc>
          <w:tcPr>
            <w:tcW w:w="57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13.06</w:t>
            </w:r>
            <w:r>
              <w:rPr>
                <w:color w:val="000000"/>
                <w:kern w:val="0"/>
                <w:sz w:val="24"/>
                <w:highlight w:val="none"/>
                <w:lang w:bidi="ar"/>
              </w:rPr>
              <w:t xml:space="preserve"> </w:t>
            </w:r>
          </w:p>
        </w:tc>
        <w:tc>
          <w:tcPr>
            <w:tcW w:w="540"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0.32</w:t>
            </w:r>
            <w:r>
              <w:rPr>
                <w:color w:val="000000"/>
                <w:kern w:val="0"/>
                <w:sz w:val="24"/>
                <w:highlight w:val="none"/>
                <w:lang w:bidi="ar"/>
              </w:rPr>
              <w:t xml:space="preserve"> </w:t>
            </w:r>
          </w:p>
        </w:tc>
        <w:tc>
          <w:tcPr>
            <w:tcW w:w="95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r>
              <w:rPr>
                <w:rFonts w:hint="eastAsia"/>
                <w:color w:val="000000"/>
                <w:kern w:val="0"/>
                <w:sz w:val="24"/>
                <w:highlight w:val="none"/>
                <w:lang w:val="en-US" w:eastAsia="zh-CN" w:bidi="ar"/>
              </w:rPr>
              <w:t>12.74</w:t>
            </w:r>
            <w:r>
              <w:rPr>
                <w:color w:val="000000"/>
                <w:kern w:val="0"/>
                <w:sz w:val="24"/>
                <w:highlight w:val="none"/>
                <w:lang w:bidi="ar"/>
              </w:rPr>
              <w:t xml:space="preserve"> </w:t>
            </w:r>
          </w:p>
        </w:tc>
        <w:tc>
          <w:tcPr>
            <w:tcW w:w="118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r>
              <w:rPr>
                <w:rFonts w:hint="eastAsia"/>
                <w:color w:val="000000"/>
                <w:kern w:val="0"/>
                <w:sz w:val="24"/>
                <w:highlight w:val="none"/>
                <w:lang w:val="en-US" w:eastAsia="zh-CN" w:bidi="ar"/>
              </w:rPr>
              <w:t>97.55</w:t>
            </w:r>
            <w:r>
              <w:rPr>
                <w:color w:val="000000"/>
                <w:kern w:val="0"/>
                <w:sz w:val="24"/>
                <w:highlight w:val="none"/>
                <w:lang w:bidi="ar"/>
              </w:rPr>
              <w:t>%</w:t>
            </w:r>
          </w:p>
        </w:tc>
        <w:tc>
          <w:tcPr>
            <w:tcW w:w="82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+0.02</w:t>
            </w:r>
            <w:r>
              <w:rPr>
                <w:color w:val="000000"/>
                <w:kern w:val="0"/>
                <w:sz w:val="24"/>
                <w:highlight w:val="none"/>
                <w:lang w:bidi="ar"/>
              </w:rPr>
              <w:t xml:space="preserve"> </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+0.15</w:t>
            </w:r>
            <w:r>
              <w:rPr>
                <w:color w:val="000000"/>
                <w:kern w:val="0"/>
                <w:sz w:val="24"/>
                <w:highlight w:val="none"/>
                <w:lang w:bidi="ar"/>
              </w:rPr>
              <w:t>%</w:t>
            </w:r>
          </w:p>
        </w:tc>
      </w:tr>
    </w:tbl>
    <w:p>
      <w:pPr>
        <w:adjustRightInd w:val="0"/>
        <w:snapToGrid w:val="0"/>
        <w:spacing w:line="600" w:lineRule="exact"/>
        <w:ind w:firstLine="640" w:firstLineChars="200"/>
        <w:rPr>
          <w:rFonts w:hint="eastAsia" w:eastAsia="仿宋_GB2312"/>
          <w:highlight w:val="none"/>
          <w:lang w:eastAsia="zh-CN"/>
        </w:rPr>
      </w:pPr>
      <w:r>
        <w:rPr>
          <w:rFonts w:eastAsia="仿宋"/>
          <w:bCs/>
          <w:sz w:val="32"/>
          <w:szCs w:val="32"/>
          <w:highlight w:val="none"/>
        </w:rPr>
        <w:t>上表中，“三公经费”</w:t>
      </w:r>
      <w:r>
        <w:rPr>
          <w:rFonts w:hint="eastAsia" w:eastAsia="仿宋"/>
          <w:bCs/>
          <w:sz w:val="32"/>
          <w:szCs w:val="32"/>
          <w:highlight w:val="none"/>
        </w:rPr>
        <w:t>支出</w:t>
      </w:r>
      <w:r>
        <w:rPr>
          <w:rFonts w:eastAsia="仿宋"/>
          <w:bCs/>
          <w:sz w:val="32"/>
          <w:szCs w:val="32"/>
          <w:highlight w:val="none"/>
        </w:rPr>
        <w:t>较上年相比</w:t>
      </w:r>
      <w:r>
        <w:rPr>
          <w:rFonts w:hint="eastAsia" w:eastAsia="仿宋"/>
          <w:bCs/>
          <w:sz w:val="32"/>
          <w:szCs w:val="32"/>
          <w:highlight w:val="none"/>
          <w:lang w:val="en-US" w:eastAsia="zh-CN"/>
        </w:rPr>
        <w:t>增加0.02万元</w:t>
      </w:r>
      <w:r>
        <w:rPr>
          <w:rFonts w:eastAsia="仿宋"/>
          <w:bCs/>
          <w:sz w:val="32"/>
          <w:szCs w:val="32"/>
          <w:highlight w:val="none"/>
        </w:rPr>
        <w:t>，</w:t>
      </w:r>
      <w:r>
        <w:rPr>
          <w:rFonts w:hint="eastAsia" w:eastAsia="仿宋"/>
          <w:bCs/>
          <w:sz w:val="32"/>
          <w:szCs w:val="32"/>
          <w:highlight w:val="none"/>
          <w:lang w:val="en-US" w:eastAsia="zh-CN"/>
        </w:rPr>
        <w:t>均为</w:t>
      </w:r>
      <w:r>
        <w:rPr>
          <w:rFonts w:eastAsia="仿宋"/>
          <w:bCs/>
          <w:sz w:val="32"/>
          <w:szCs w:val="32"/>
          <w:highlight w:val="none"/>
        </w:rPr>
        <w:t>公务接待费</w:t>
      </w:r>
      <w:r>
        <w:rPr>
          <w:rFonts w:hint="eastAsia" w:eastAsia="仿宋"/>
          <w:bCs/>
          <w:sz w:val="32"/>
          <w:szCs w:val="32"/>
          <w:highlight w:val="none"/>
          <w:lang w:eastAsia="zh-CN"/>
        </w:rPr>
        <w:t>。</w:t>
      </w:r>
      <w:r>
        <w:rPr>
          <w:rFonts w:hint="eastAsia" w:eastAsia="仿宋"/>
          <w:bCs/>
          <w:sz w:val="32"/>
          <w:szCs w:val="32"/>
          <w:highlight w:val="none"/>
        </w:rPr>
        <w:t>经现场检查相关凭证，公务接待费</w:t>
      </w:r>
      <w:r>
        <w:rPr>
          <w:rFonts w:hint="eastAsia" w:eastAsia="仿宋"/>
          <w:bCs/>
          <w:sz w:val="32"/>
          <w:szCs w:val="32"/>
          <w:highlight w:val="none"/>
          <w:lang w:val="en-US" w:eastAsia="zh-CN"/>
        </w:rPr>
        <w:t>0.32万</w:t>
      </w:r>
      <w:r>
        <w:rPr>
          <w:rFonts w:hint="eastAsia" w:eastAsia="仿宋"/>
          <w:bCs/>
          <w:sz w:val="32"/>
          <w:szCs w:val="32"/>
          <w:highlight w:val="none"/>
        </w:rPr>
        <w:t>元：</w:t>
      </w:r>
      <w:r>
        <w:rPr>
          <w:rFonts w:hint="eastAsia" w:eastAsia="仿宋" w:cs="Times New Roman"/>
          <w:b w:val="0"/>
          <w:bCs/>
          <w:sz w:val="32"/>
          <w:szCs w:val="32"/>
          <w:highlight w:val="none"/>
          <w:lang w:val="en-US" w:eastAsia="zh-CN"/>
        </w:rPr>
        <w:t>主要是高考及学业水平考试省市巡视员及教师职称评定外请评委发生的接待支出，均有接待函，并经领导批示准予接待，接待标准符合相关规定，全年共接待来访团组13个，来宾91人次</w:t>
      </w:r>
      <w:r>
        <w:rPr>
          <w:rFonts w:hint="eastAsia" w:eastAsia="仿宋_GB2312"/>
          <w:sz w:val="32"/>
          <w:szCs w:val="32"/>
          <w:highlight w:val="none"/>
        </w:rPr>
        <w:t>。</w:t>
      </w:r>
    </w:p>
    <w:p>
      <w:pPr>
        <w:adjustRightInd w:val="0"/>
        <w:snapToGrid w:val="0"/>
        <w:spacing w:line="600" w:lineRule="exact"/>
        <w:ind w:firstLine="641" w:firstLineChars="200"/>
        <w:outlineLvl w:val="2"/>
        <w:rPr>
          <w:rFonts w:eastAsia="华文仿宋"/>
          <w:b/>
          <w:bCs/>
          <w:color w:val="000000"/>
          <w:sz w:val="32"/>
          <w:szCs w:val="32"/>
          <w:highlight w:val="none"/>
          <w:shd w:val="clear" w:color="auto" w:fill="FFFFFF"/>
        </w:rPr>
      </w:pPr>
      <w:bookmarkStart w:id="11" w:name="_Toc4437"/>
      <w:r>
        <w:rPr>
          <w:rFonts w:hint="eastAsia" w:eastAsia="华文仿宋"/>
          <w:b/>
          <w:bCs/>
          <w:color w:val="000000"/>
          <w:sz w:val="32"/>
          <w:szCs w:val="32"/>
          <w:highlight w:val="none"/>
          <w:shd w:val="clear" w:color="auto" w:fill="FFFFFF"/>
        </w:rPr>
        <w:t>5</w:t>
      </w:r>
      <w:r>
        <w:rPr>
          <w:rFonts w:eastAsia="华文仿宋"/>
          <w:b/>
          <w:bCs/>
          <w:color w:val="000000"/>
          <w:sz w:val="32"/>
          <w:szCs w:val="32"/>
          <w:highlight w:val="none"/>
          <w:shd w:val="clear" w:color="auto" w:fill="FFFFFF"/>
        </w:rPr>
        <w:t>、政府采购预算支出情况</w:t>
      </w:r>
      <w:bookmarkEnd w:id="11"/>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仿宋" w:cs="Times New Roman"/>
          <w:b w:val="0"/>
          <w:bCs/>
          <w:sz w:val="32"/>
          <w:szCs w:val="32"/>
          <w:lang w:val="en-US" w:eastAsia="zh-CN"/>
        </w:rPr>
      </w:pPr>
      <w:r>
        <w:rPr>
          <w:rFonts w:hint="eastAsia" w:eastAsia="仿宋_GB2312"/>
          <w:sz w:val="32"/>
          <w:szCs w:val="32"/>
        </w:rPr>
        <w:t>邵东市</w:t>
      </w:r>
      <w:r>
        <w:rPr>
          <w:rFonts w:hint="eastAsia" w:eastAsia="仿宋_GB2312"/>
          <w:sz w:val="32"/>
          <w:szCs w:val="32"/>
          <w:lang w:val="en-US" w:eastAsia="zh-CN"/>
        </w:rPr>
        <w:t>城市管理和综合执法局</w:t>
      </w:r>
      <w:r>
        <w:rPr>
          <w:rFonts w:eastAsia="仿宋"/>
          <w:bCs/>
          <w:sz w:val="32"/>
          <w:szCs w:val="32"/>
          <w:highlight w:val="none"/>
        </w:rPr>
        <w:t>2021年度政府采购预算</w:t>
      </w:r>
      <w:r>
        <w:rPr>
          <w:rFonts w:hint="eastAsia" w:eastAsia="仿宋"/>
          <w:bCs/>
          <w:sz w:val="32"/>
          <w:szCs w:val="32"/>
          <w:highlight w:val="none"/>
          <w:lang w:val="en-US" w:eastAsia="zh-CN"/>
        </w:rPr>
        <w:t>32</w:t>
      </w:r>
      <w:r>
        <w:rPr>
          <w:rFonts w:eastAsia="仿宋"/>
          <w:bCs/>
          <w:sz w:val="32"/>
          <w:szCs w:val="32"/>
          <w:highlight w:val="none"/>
        </w:rPr>
        <w:t>万元，</w:t>
      </w:r>
      <w:r>
        <w:rPr>
          <w:rFonts w:hint="default" w:ascii="Times New Roman" w:hAnsi="Times New Roman" w:eastAsia="仿宋" w:cs="Times New Roman"/>
          <w:b w:val="0"/>
          <w:bCs/>
          <w:sz w:val="32"/>
          <w:szCs w:val="32"/>
          <w:lang w:val="en-US" w:eastAsia="zh-CN"/>
        </w:rPr>
        <w:t>实际</w:t>
      </w:r>
      <w:r>
        <w:rPr>
          <w:rFonts w:hint="eastAsia" w:eastAsia="仿宋" w:cs="Times New Roman"/>
          <w:b w:val="0"/>
          <w:bCs/>
          <w:sz w:val="32"/>
          <w:szCs w:val="32"/>
          <w:lang w:val="en-US" w:eastAsia="zh-CN"/>
        </w:rPr>
        <w:t>支付4.49</w:t>
      </w:r>
      <w:r>
        <w:rPr>
          <w:rFonts w:hint="default" w:ascii="Times New Roman" w:hAnsi="Times New Roman" w:eastAsia="仿宋" w:cs="Times New Roman"/>
          <w:b w:val="0"/>
          <w:bCs/>
          <w:sz w:val="32"/>
          <w:szCs w:val="32"/>
          <w:lang w:val="en-US" w:eastAsia="zh-CN"/>
        </w:rPr>
        <w:t>万元，</w:t>
      </w:r>
      <w:r>
        <w:rPr>
          <w:rFonts w:hint="eastAsia" w:eastAsia="仿宋" w:cs="Times New Roman"/>
          <w:b w:val="0"/>
          <w:bCs/>
          <w:sz w:val="32"/>
          <w:szCs w:val="32"/>
          <w:lang w:val="en-US" w:eastAsia="zh-CN"/>
        </w:rPr>
        <w:t>其中：政府采购货物支出4.49万元，</w:t>
      </w:r>
      <w:r>
        <w:rPr>
          <w:rFonts w:hint="default" w:ascii="Times New Roman" w:hAnsi="Times New Roman" w:eastAsia="仿宋" w:cs="Times New Roman"/>
          <w:b w:val="0"/>
          <w:bCs/>
          <w:sz w:val="32"/>
          <w:szCs w:val="32"/>
          <w:lang w:val="en-US" w:eastAsia="zh-CN"/>
        </w:rPr>
        <w:t>政府采购预算执行率为</w:t>
      </w:r>
      <w:r>
        <w:rPr>
          <w:rFonts w:hint="eastAsia" w:eastAsia="仿宋" w:cs="Times New Roman"/>
          <w:b w:val="0"/>
          <w:bCs/>
          <w:sz w:val="32"/>
          <w:szCs w:val="32"/>
          <w:lang w:val="en-US" w:eastAsia="zh-CN"/>
        </w:rPr>
        <w:t>14.03</w:t>
      </w:r>
      <w:r>
        <w:rPr>
          <w:rFonts w:hint="default" w:ascii="Times New Roman" w:hAnsi="Times New Roman" w:eastAsia="仿宋" w:cs="Times New Roman"/>
          <w:b w:val="0"/>
          <w:bCs/>
          <w:sz w:val="32"/>
          <w:szCs w:val="32"/>
          <w:lang w:val="en-US" w:eastAsia="zh-CN"/>
        </w:rPr>
        <w:t>%</w:t>
      </w:r>
      <w:r>
        <w:rPr>
          <w:rFonts w:hint="eastAsia" w:eastAsia="仿宋" w:cs="Times New Roman"/>
          <w:b w:val="0"/>
          <w:bCs/>
          <w:sz w:val="32"/>
          <w:szCs w:val="32"/>
          <w:lang w:val="en-US" w:eastAsia="zh-CN"/>
        </w:rPr>
        <w:t>。</w:t>
      </w:r>
    </w:p>
    <w:p>
      <w:pPr>
        <w:adjustRightInd w:val="0"/>
        <w:snapToGrid w:val="0"/>
        <w:spacing w:line="600" w:lineRule="exact"/>
        <w:ind w:firstLine="641" w:firstLineChars="200"/>
        <w:outlineLvl w:val="2"/>
        <w:rPr>
          <w:rFonts w:eastAsia="华文仿宋"/>
          <w:b/>
          <w:bCs/>
          <w:color w:val="000000"/>
          <w:sz w:val="32"/>
          <w:szCs w:val="32"/>
          <w:shd w:val="clear" w:color="auto" w:fill="FFFFFF"/>
        </w:rPr>
      </w:pPr>
      <w:bookmarkStart w:id="12" w:name="_Toc21099"/>
      <w:r>
        <w:rPr>
          <w:rFonts w:hint="eastAsia" w:eastAsia="华文仿宋"/>
          <w:b/>
          <w:bCs/>
          <w:color w:val="000000"/>
          <w:sz w:val="32"/>
          <w:szCs w:val="32"/>
          <w:highlight w:val="none"/>
          <w:shd w:val="clear" w:color="auto" w:fill="FFFFFF"/>
        </w:rPr>
        <w:t>6</w:t>
      </w:r>
      <w:r>
        <w:rPr>
          <w:rFonts w:eastAsia="华文仿宋"/>
          <w:b/>
          <w:bCs/>
          <w:color w:val="000000"/>
          <w:sz w:val="32"/>
          <w:szCs w:val="32"/>
          <w:highlight w:val="none"/>
          <w:shd w:val="clear" w:color="auto" w:fill="FFFFFF"/>
        </w:rPr>
        <w:t>、</w:t>
      </w:r>
      <w:bookmarkEnd w:id="12"/>
      <w:bookmarkStart w:id="13" w:name="_Toc14072"/>
      <w:r>
        <w:rPr>
          <w:rFonts w:eastAsia="华文仿宋"/>
          <w:b/>
          <w:bCs/>
          <w:color w:val="000000"/>
          <w:sz w:val="32"/>
          <w:szCs w:val="32"/>
          <w:shd w:val="clear" w:color="auto" w:fill="FFFFFF"/>
        </w:rPr>
        <w:t>制度建设及执行情况</w:t>
      </w:r>
      <w:bookmarkEnd w:id="13"/>
    </w:p>
    <w:p>
      <w:pPr>
        <w:adjustRightInd w:val="0"/>
        <w:snapToGrid w:val="0"/>
        <w:spacing w:line="600" w:lineRule="exact"/>
        <w:ind w:firstLine="321" w:firstLineChars="100"/>
        <w:outlineLvl w:val="1"/>
        <w:rPr>
          <w:rFonts w:eastAsia="楷体"/>
          <w:b/>
          <w:bCs/>
          <w:sz w:val="32"/>
          <w:szCs w:val="32"/>
        </w:rPr>
      </w:pPr>
      <w:bookmarkStart w:id="14" w:name="_Toc12889"/>
      <w:r>
        <w:rPr>
          <w:rFonts w:hint="eastAsia" w:eastAsia="楷体"/>
          <w:b/>
          <w:bCs/>
          <w:sz w:val="32"/>
          <w:szCs w:val="32"/>
        </w:rPr>
        <w:t>（</w:t>
      </w:r>
      <w:r>
        <w:rPr>
          <w:rFonts w:eastAsia="楷体"/>
          <w:b/>
          <w:bCs/>
          <w:sz w:val="32"/>
          <w:szCs w:val="32"/>
        </w:rPr>
        <w:t>1）资金管理制度建设及执行情况</w:t>
      </w:r>
      <w:bookmarkEnd w:id="14"/>
    </w:p>
    <w:p>
      <w:pPr>
        <w:pStyle w:val="2"/>
        <w:spacing w:after="0" w:line="600" w:lineRule="exact"/>
        <w:ind w:firstLine="640" w:firstLineChars="200"/>
        <w:rPr>
          <w:rFonts w:hint="eastAsia" w:eastAsia="仿宋"/>
          <w:sz w:val="32"/>
          <w:szCs w:val="32"/>
          <w:lang w:val="en-US" w:eastAsia="zh-CN"/>
        </w:rPr>
      </w:pPr>
      <w:r>
        <w:rPr>
          <w:rFonts w:hint="eastAsia" w:eastAsia="仿宋"/>
          <w:sz w:val="32"/>
          <w:szCs w:val="32"/>
          <w:lang w:val="en-US" w:eastAsia="zh-CN"/>
        </w:rPr>
        <w:t>为规范公务接待管理，厉行勤俭节约，反对铺张浪费，加强党风廉政建设，根据《邵东县党政机关国内公务接待管理办法》邵办文[2018]26号，结合我单位实际，特制定《邵东市城市管理和综合执法局公务接待管理制度》；为加强干部作风纪律，规范执法车辆的管理与使用，经局党组研究决定，特制定《邵东市城市管理和综合执法局车辆管理制度》；为加强局机关财务管理，严肃财经纪律，规范财务收入行为，促进全局工作开展，特制定《邵东市城市管理和综合执法局收入管理制度》，单位的收入由局财务会审领导小组负责检查指导和履行监督财务管理职责。</w:t>
      </w:r>
    </w:p>
    <w:p>
      <w:pPr>
        <w:pStyle w:val="2"/>
        <w:spacing w:after="0" w:line="600" w:lineRule="exact"/>
        <w:ind w:firstLine="640" w:firstLineChars="200"/>
        <w:rPr>
          <w:rFonts w:hint="eastAsia" w:eastAsia="仿宋"/>
          <w:sz w:val="32"/>
          <w:szCs w:val="32"/>
          <w:lang w:val="en-US" w:eastAsia="zh-CN"/>
        </w:rPr>
      </w:pPr>
      <w:r>
        <w:rPr>
          <w:rFonts w:hint="eastAsia" w:eastAsia="仿宋"/>
          <w:sz w:val="32"/>
          <w:szCs w:val="32"/>
        </w:rPr>
        <w:t>经现场评价，会计核算方面：基本支出和项目支出分别核算，不同的项目资金分别设置对应的项目名称进行辅助核算；支出依据的合规性、完整性方面：基本按照制度执行，支出标准、流程均符合相关规定</w:t>
      </w:r>
      <w:r>
        <w:rPr>
          <w:rFonts w:hint="eastAsia" w:eastAsia="仿宋"/>
          <w:sz w:val="32"/>
          <w:szCs w:val="32"/>
          <w:lang w:eastAsia="zh-CN"/>
        </w:rPr>
        <w:t>。</w:t>
      </w:r>
    </w:p>
    <w:p>
      <w:pPr>
        <w:numPr>
          <w:ilvl w:val="0"/>
          <w:numId w:val="2"/>
        </w:numPr>
        <w:adjustRightInd w:val="0"/>
        <w:snapToGrid w:val="0"/>
        <w:spacing w:line="600" w:lineRule="exact"/>
        <w:ind w:firstLine="643" w:firstLineChars="200"/>
        <w:outlineLvl w:val="1"/>
        <w:rPr>
          <w:rFonts w:eastAsia="楷体"/>
          <w:b/>
          <w:bCs/>
          <w:sz w:val="32"/>
          <w:szCs w:val="32"/>
        </w:rPr>
      </w:pPr>
      <w:bookmarkStart w:id="15" w:name="_Toc18583"/>
      <w:r>
        <w:rPr>
          <w:rFonts w:hint="eastAsia" w:eastAsia="楷体"/>
          <w:b/>
          <w:bCs/>
          <w:sz w:val="32"/>
          <w:szCs w:val="32"/>
        </w:rPr>
        <w:t>资产管理制度建设及执行情况</w:t>
      </w:r>
      <w:bookmarkEnd w:id="15"/>
    </w:p>
    <w:p>
      <w:pPr>
        <w:adjustRightInd w:val="0"/>
        <w:snapToGrid w:val="0"/>
        <w:spacing w:line="600" w:lineRule="exact"/>
        <w:ind w:firstLine="640" w:firstLineChars="200"/>
        <w:outlineLvl w:val="0"/>
        <w:rPr>
          <w:rFonts w:hint="eastAsia" w:eastAsia="仿宋"/>
          <w:sz w:val="32"/>
          <w:szCs w:val="32"/>
          <w:lang w:val="en-US" w:eastAsia="zh-CN"/>
        </w:rPr>
      </w:pPr>
      <w:bookmarkStart w:id="16" w:name="_Toc17141"/>
      <w:r>
        <w:rPr>
          <w:rFonts w:hint="eastAsia" w:eastAsia="仿宋"/>
          <w:sz w:val="32"/>
          <w:szCs w:val="32"/>
        </w:rPr>
        <w:t>为了加强</w:t>
      </w:r>
      <w:r>
        <w:rPr>
          <w:rFonts w:hint="eastAsia" w:eastAsia="仿宋"/>
          <w:sz w:val="32"/>
          <w:szCs w:val="32"/>
          <w:lang w:val="en-US" w:eastAsia="zh-CN"/>
        </w:rPr>
        <w:t>财务管理，严肃财经纪律，提高资金使用效益，根据有关规定，结合本单位实际，特制定《邵东市城市管理和综合执法局财务管理制度》；为了进一步弘扬艰苦奋斗、勤俭节约的优良作风，确保局机关财务得到安全有效的使用，减少损耗，杜绝浪费，根据《党政机关厉行节约反对浪费条例》之规定，特制定《邵东市城市管理和综合执法局资产管理制度》；为规范本单位建设项目管理，提高建设项目投资效益，实现项目管理科学化，根据国家有关法律法规和基本建设管理制度，制定了《邵东市城市管理和综合执法局建设项目管理制度》；为规范单位的合同行为，预防和减少合同纠纷防范和同风险，根据《中华人民共和国合同法》及有关法律、法规等规定，结合本区实际，制定了《邵东市城市管理和综合执法局合同管理制度》，合同由法规股负责统一审查，未经法规股审查，不得订立合同。</w:t>
      </w:r>
      <w:r>
        <w:rPr>
          <w:rFonts w:hint="eastAsia" w:ascii="仿宋_GB2312" w:eastAsia="仿宋_GB2312"/>
          <w:sz w:val="32"/>
          <w:szCs w:val="32"/>
        </w:rPr>
        <w:t>经现场评价发现，</w:t>
      </w:r>
      <w:r>
        <w:rPr>
          <w:rFonts w:hint="eastAsia" w:ascii="仿宋_GB2312" w:eastAsia="仿宋_GB2312"/>
          <w:sz w:val="32"/>
          <w:szCs w:val="32"/>
          <w:lang w:val="en-US" w:eastAsia="zh-CN"/>
        </w:rPr>
        <w:t>该单位</w:t>
      </w:r>
      <w:r>
        <w:rPr>
          <w:rFonts w:hint="eastAsia" w:ascii="仿宋_GB2312" w:eastAsia="仿宋_GB2312"/>
          <w:sz w:val="32"/>
          <w:szCs w:val="32"/>
        </w:rPr>
        <w:t>未制定流动资产、无形资产相关的资产管理制度。</w:t>
      </w:r>
    </w:p>
    <w:p>
      <w:pPr>
        <w:adjustRightInd w:val="0"/>
        <w:snapToGrid w:val="0"/>
        <w:spacing w:line="600" w:lineRule="exact"/>
        <w:ind w:firstLine="640" w:firstLineChars="200"/>
        <w:outlineLvl w:val="0"/>
        <w:rPr>
          <w:rFonts w:eastAsia="黑体"/>
          <w:sz w:val="32"/>
          <w:szCs w:val="32"/>
        </w:rPr>
      </w:pPr>
      <w:r>
        <w:rPr>
          <w:rFonts w:hint="eastAsia" w:eastAsia="黑体"/>
          <w:sz w:val="32"/>
          <w:szCs w:val="32"/>
        </w:rPr>
        <w:t>三、绩效评价工作情况及评价结论</w:t>
      </w:r>
      <w:bookmarkEnd w:id="16"/>
    </w:p>
    <w:p>
      <w:pPr>
        <w:adjustRightInd w:val="0"/>
        <w:snapToGrid w:val="0"/>
        <w:spacing w:line="600" w:lineRule="exact"/>
        <w:ind w:firstLine="640" w:firstLineChars="200"/>
        <w:rPr>
          <w:rFonts w:eastAsia="仿宋"/>
          <w:color w:val="000000"/>
          <w:kern w:val="0"/>
          <w:sz w:val="32"/>
          <w:szCs w:val="32"/>
        </w:rPr>
      </w:pPr>
      <w:r>
        <w:rPr>
          <w:rFonts w:eastAsia="仿宋"/>
          <w:color w:val="000000"/>
          <w:kern w:val="0"/>
          <w:sz w:val="32"/>
          <w:szCs w:val="32"/>
        </w:rPr>
        <w:t>湖南南方会计师事务所成立了绩效评价工作小组并</w:t>
      </w:r>
      <w:r>
        <w:rPr>
          <w:rFonts w:hint="eastAsia" w:eastAsia="仿宋"/>
          <w:color w:val="000000"/>
          <w:kern w:val="0"/>
          <w:sz w:val="32"/>
          <w:szCs w:val="32"/>
        </w:rPr>
        <w:t>对</w:t>
      </w:r>
      <w:r>
        <w:rPr>
          <w:rFonts w:hint="eastAsia" w:eastAsia="仿宋"/>
          <w:sz w:val="32"/>
          <w:szCs w:val="32"/>
          <w:lang w:val="en-US" w:eastAsia="zh-CN"/>
        </w:rPr>
        <w:t>邵东市城市管理和综合执法局</w:t>
      </w:r>
      <w:r>
        <w:rPr>
          <w:rFonts w:eastAsia="仿宋"/>
          <w:color w:val="000000"/>
          <w:kern w:val="0"/>
          <w:sz w:val="32"/>
          <w:szCs w:val="32"/>
        </w:rPr>
        <w:t>进行现场绩效评价，现场评价工作内容主要有：</w:t>
      </w:r>
    </w:p>
    <w:p>
      <w:pPr>
        <w:spacing w:line="600" w:lineRule="exact"/>
        <w:ind w:firstLine="643" w:firstLineChars="200"/>
        <w:rPr>
          <w:rFonts w:eastAsia="仿宋_GB2312"/>
          <w:sz w:val="32"/>
          <w:szCs w:val="32"/>
        </w:rPr>
      </w:pPr>
      <w:r>
        <w:rPr>
          <w:rFonts w:eastAsia="楷体"/>
          <w:b/>
          <w:bCs/>
          <w:sz w:val="32"/>
          <w:szCs w:val="32"/>
        </w:rPr>
        <w:t>（一）核实数据。</w:t>
      </w:r>
      <w:r>
        <w:rPr>
          <w:rFonts w:eastAsia="仿宋_GB2312"/>
          <w:sz w:val="32"/>
          <w:szCs w:val="32"/>
        </w:rPr>
        <w:t>核实2021年度部门整体支出数据的准确性、真实性。检查2021年度部门整体支出情况，运用比较法、因素分析法等调查分析方法进行分析。</w:t>
      </w:r>
    </w:p>
    <w:p>
      <w:pPr>
        <w:spacing w:line="600" w:lineRule="exact"/>
        <w:ind w:firstLine="643" w:firstLineChars="200"/>
        <w:rPr>
          <w:rFonts w:eastAsia="仿宋_GB2312"/>
          <w:sz w:val="32"/>
          <w:szCs w:val="32"/>
        </w:rPr>
      </w:pPr>
      <w:r>
        <w:rPr>
          <w:rFonts w:eastAsia="楷体_GB2312"/>
          <w:b/>
          <w:bCs/>
          <w:sz w:val="32"/>
          <w:szCs w:val="32"/>
        </w:rPr>
        <w:t>（二）查阅资料。</w:t>
      </w:r>
      <w:r>
        <w:rPr>
          <w:rFonts w:eastAsia="仿宋_GB2312"/>
          <w:sz w:val="32"/>
          <w:szCs w:val="32"/>
        </w:rPr>
        <w:t>查阅2021年度预算安排、预算追加、资金管理、经费支出、资产管理等相关文件资料和财务凭证。</w:t>
      </w:r>
    </w:p>
    <w:p>
      <w:pPr>
        <w:spacing w:line="600" w:lineRule="exact"/>
        <w:ind w:firstLine="643" w:firstLineChars="200"/>
        <w:rPr>
          <w:rFonts w:eastAsia="仿宋_GB2312"/>
          <w:sz w:val="32"/>
          <w:szCs w:val="32"/>
        </w:rPr>
      </w:pPr>
      <w:r>
        <w:rPr>
          <w:rFonts w:eastAsia="楷体_GB2312"/>
          <w:b/>
          <w:bCs/>
          <w:sz w:val="32"/>
          <w:szCs w:val="32"/>
        </w:rPr>
        <w:t>（三）实地查看。</w:t>
      </w:r>
      <w:r>
        <w:rPr>
          <w:rFonts w:eastAsia="仿宋_GB2312"/>
          <w:sz w:val="32"/>
          <w:szCs w:val="32"/>
        </w:rPr>
        <w:t>现场查看实物资产等。</w:t>
      </w:r>
    </w:p>
    <w:p>
      <w:pPr>
        <w:spacing w:line="600" w:lineRule="exact"/>
        <w:ind w:firstLine="643" w:firstLineChars="200"/>
        <w:rPr>
          <w:rFonts w:eastAsia="仿宋_GB2312"/>
          <w:sz w:val="32"/>
          <w:szCs w:val="32"/>
        </w:rPr>
      </w:pPr>
      <w:r>
        <w:rPr>
          <w:rFonts w:eastAsia="楷体_GB2312"/>
          <w:b/>
          <w:bCs/>
          <w:sz w:val="32"/>
          <w:szCs w:val="32"/>
        </w:rPr>
        <w:t>（四）问卷调查。</w:t>
      </w:r>
      <w:r>
        <w:rPr>
          <w:rFonts w:eastAsia="仿宋_GB2312"/>
          <w:sz w:val="32"/>
          <w:szCs w:val="32"/>
        </w:rPr>
        <w:t>对部门履行职责情况的公众满意度发放问卷，进行调查。</w:t>
      </w:r>
    </w:p>
    <w:p>
      <w:pPr>
        <w:spacing w:line="600" w:lineRule="exact"/>
        <w:ind w:firstLine="643" w:firstLineChars="200"/>
        <w:rPr>
          <w:rFonts w:eastAsia="仿宋_GB2312"/>
          <w:sz w:val="32"/>
          <w:szCs w:val="32"/>
        </w:rPr>
      </w:pPr>
      <w:r>
        <w:rPr>
          <w:rFonts w:eastAsia="楷体_GB2312"/>
          <w:b/>
          <w:bCs/>
          <w:sz w:val="32"/>
          <w:szCs w:val="32"/>
        </w:rPr>
        <w:t>（五）综合分析。</w:t>
      </w:r>
      <w:r>
        <w:rPr>
          <w:rFonts w:eastAsia="仿宋_GB2312"/>
          <w:sz w:val="32"/>
          <w:szCs w:val="32"/>
        </w:rPr>
        <w:t>归纳汇总提供的材料及自评报告，结合现场调查情况进行综合分析。</w:t>
      </w:r>
    </w:p>
    <w:p>
      <w:pPr>
        <w:spacing w:line="600" w:lineRule="exact"/>
        <w:ind w:firstLine="643" w:firstLineChars="200"/>
        <w:rPr>
          <w:rFonts w:eastAsia="仿宋_GB2312"/>
          <w:sz w:val="32"/>
          <w:szCs w:val="32"/>
        </w:rPr>
      </w:pPr>
      <w:r>
        <w:rPr>
          <w:rFonts w:eastAsia="楷体_GB2312"/>
          <w:b/>
          <w:bCs/>
          <w:sz w:val="32"/>
          <w:szCs w:val="32"/>
        </w:rPr>
        <w:t>（六）撰写评价报告。</w:t>
      </w:r>
      <w:r>
        <w:rPr>
          <w:rFonts w:eastAsia="仿宋_GB2312"/>
          <w:sz w:val="32"/>
          <w:szCs w:val="32"/>
        </w:rPr>
        <w:t>评价组对各项评价指标进行评价和打分，形成绩效评价报告。</w:t>
      </w:r>
    </w:p>
    <w:p>
      <w:pPr>
        <w:adjustRightInd w:val="0"/>
        <w:snapToGrid w:val="0"/>
        <w:spacing w:line="600" w:lineRule="exact"/>
        <w:ind w:firstLine="675" w:firstLineChars="210"/>
        <w:rPr>
          <w:rFonts w:eastAsia="黑体"/>
          <w:color w:val="0000FF"/>
          <w:sz w:val="32"/>
          <w:szCs w:val="32"/>
          <w:highlight w:val="none"/>
        </w:rPr>
      </w:pPr>
      <w:r>
        <w:rPr>
          <w:rFonts w:eastAsia="楷体_GB2312"/>
          <w:b/>
          <w:bCs/>
          <w:sz w:val="32"/>
          <w:szCs w:val="32"/>
          <w:highlight w:val="none"/>
        </w:rPr>
        <w:t>（七）评价结论。</w:t>
      </w:r>
      <w:r>
        <w:rPr>
          <w:rFonts w:eastAsia="仿宋"/>
          <w:kern w:val="0"/>
          <w:sz w:val="32"/>
          <w:szCs w:val="32"/>
          <w:highlight w:val="none"/>
        </w:rPr>
        <w:t>根据部门整体支出绩效评价指标评价，</w:t>
      </w:r>
      <w:r>
        <w:rPr>
          <w:rFonts w:hint="eastAsia" w:eastAsia="仿宋"/>
          <w:sz w:val="32"/>
          <w:szCs w:val="32"/>
          <w:lang w:val="en-US" w:eastAsia="zh-CN"/>
        </w:rPr>
        <w:t>邵东市城市管理和综合执法局</w:t>
      </w:r>
      <w:r>
        <w:rPr>
          <w:rFonts w:eastAsia="仿宋"/>
          <w:kern w:val="0"/>
          <w:sz w:val="32"/>
          <w:szCs w:val="32"/>
          <w:highlight w:val="none"/>
        </w:rPr>
        <w:t>2021年部门整体支出绩效评价</w:t>
      </w:r>
      <w:r>
        <w:rPr>
          <w:rFonts w:eastAsia="仿宋"/>
          <w:color w:val="auto"/>
          <w:kern w:val="0"/>
          <w:sz w:val="32"/>
          <w:szCs w:val="32"/>
          <w:highlight w:val="none"/>
        </w:rPr>
        <w:t>得分</w:t>
      </w:r>
      <w:r>
        <w:rPr>
          <w:rFonts w:hint="eastAsia" w:eastAsia="仿宋"/>
          <w:color w:val="auto"/>
          <w:kern w:val="0"/>
          <w:sz w:val="32"/>
          <w:szCs w:val="32"/>
          <w:highlight w:val="none"/>
          <w:lang w:val="en-US" w:eastAsia="zh-CN"/>
        </w:rPr>
        <w:t>88.63</w:t>
      </w:r>
      <w:r>
        <w:rPr>
          <w:rFonts w:eastAsia="仿宋"/>
          <w:color w:val="auto"/>
          <w:kern w:val="0"/>
          <w:sz w:val="32"/>
          <w:szCs w:val="32"/>
          <w:highlight w:val="none"/>
        </w:rPr>
        <w:t>分，等级为“</w:t>
      </w:r>
      <w:r>
        <w:rPr>
          <w:rFonts w:hint="eastAsia" w:eastAsia="仿宋"/>
          <w:color w:val="auto"/>
          <w:kern w:val="0"/>
          <w:sz w:val="32"/>
          <w:szCs w:val="32"/>
          <w:highlight w:val="none"/>
          <w:lang w:val="en-US" w:eastAsia="zh-CN"/>
        </w:rPr>
        <w:t>优</w:t>
      </w:r>
      <w:r>
        <w:rPr>
          <w:rFonts w:eastAsia="仿宋"/>
          <w:color w:val="auto"/>
          <w:kern w:val="0"/>
          <w:sz w:val="32"/>
          <w:szCs w:val="32"/>
          <w:highlight w:val="none"/>
        </w:rPr>
        <w:t>”</w:t>
      </w:r>
      <w:r>
        <w:rPr>
          <w:rFonts w:eastAsia="仿宋"/>
          <w:kern w:val="0"/>
          <w:sz w:val="32"/>
          <w:szCs w:val="32"/>
          <w:highlight w:val="none"/>
        </w:rPr>
        <w:t>。</w:t>
      </w:r>
    </w:p>
    <w:p>
      <w:pPr>
        <w:adjustRightInd w:val="0"/>
        <w:snapToGrid w:val="0"/>
        <w:spacing w:line="600" w:lineRule="exact"/>
        <w:ind w:firstLine="640" w:firstLineChars="200"/>
        <w:outlineLvl w:val="0"/>
        <w:rPr>
          <w:rFonts w:hint="eastAsia" w:eastAsia="仿宋_GB2312"/>
          <w:sz w:val="32"/>
          <w:szCs w:val="32"/>
          <w:highlight w:val="none"/>
          <w:lang w:val="en-US" w:eastAsia="zh-CN"/>
        </w:rPr>
      </w:pPr>
      <w:bookmarkStart w:id="17" w:name="_Toc23836"/>
      <w:r>
        <w:rPr>
          <w:rFonts w:eastAsia="黑体"/>
          <w:sz w:val="32"/>
          <w:szCs w:val="32"/>
        </w:rPr>
        <w:t>四、部门整体支出绩效情况</w:t>
      </w:r>
      <w:bookmarkEnd w:id="17"/>
      <w:bookmarkStart w:id="18" w:name="_Toc26770"/>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outlineLvl w:val="1"/>
        <w:rPr>
          <w:rFonts w:hint="eastAsia" w:eastAsia="仿宋_GB2312"/>
          <w:b w:val="0"/>
          <w:bCs w:val="0"/>
          <w:sz w:val="32"/>
          <w:szCs w:val="32"/>
          <w:highlight w:val="none"/>
          <w:lang w:val="en-US" w:eastAsia="zh-CN"/>
        </w:rPr>
      </w:pPr>
      <w:r>
        <w:rPr>
          <w:rFonts w:hint="eastAsia" w:eastAsia="仿宋_GB2312"/>
          <w:b/>
          <w:bCs/>
          <w:sz w:val="32"/>
          <w:szCs w:val="32"/>
          <w:highlight w:val="none"/>
          <w:lang w:val="en-US" w:eastAsia="zh-CN"/>
        </w:rPr>
        <w:t>（一）对占道经营进行全面整治。一是</w:t>
      </w:r>
      <w:r>
        <w:rPr>
          <w:rFonts w:hint="eastAsia" w:eastAsia="仿宋_GB2312"/>
          <w:b w:val="0"/>
          <w:bCs w:val="0"/>
          <w:sz w:val="32"/>
          <w:szCs w:val="32"/>
          <w:highlight w:val="none"/>
          <w:lang w:val="en-US" w:eastAsia="zh-CN"/>
        </w:rPr>
        <w:t>多次开展管辖区域路段周边流动摊贩占道经营整治行动，同时加强在建区的城市管理宣传工作，让占道经营现象从减少到无占道经营。</w:t>
      </w:r>
      <w:r>
        <w:rPr>
          <w:rFonts w:hint="eastAsia" w:eastAsia="仿宋_GB2312"/>
          <w:b/>
          <w:bCs/>
          <w:sz w:val="32"/>
          <w:szCs w:val="32"/>
          <w:highlight w:val="none"/>
          <w:lang w:val="en-US" w:eastAsia="zh-CN"/>
        </w:rPr>
        <w:t>二是</w:t>
      </w:r>
      <w:r>
        <w:rPr>
          <w:rFonts w:hint="eastAsia" w:eastAsia="仿宋_GB2312"/>
          <w:b w:val="0"/>
          <w:bCs w:val="0"/>
          <w:sz w:val="32"/>
          <w:szCs w:val="32"/>
          <w:highlight w:val="none"/>
          <w:lang w:val="en-US" w:eastAsia="zh-CN"/>
        </w:rPr>
        <w:t>进行市容秩序常态化管理，对主要区域定人定点定责安排人员值勤，白班组人员机动巡查，晚班组对夜间摊贩做好规范管理。劝离流动摊贩2000余次，杜绝门店占道经营1000余起。</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outlineLvl w:val="1"/>
        <w:rPr>
          <w:rFonts w:hint="eastAsia" w:eastAsia="仿宋_GB2312"/>
          <w:b w:val="0"/>
          <w:bCs w:val="0"/>
          <w:sz w:val="32"/>
          <w:szCs w:val="32"/>
          <w:highlight w:val="none"/>
          <w:lang w:val="en-US" w:eastAsia="zh-CN"/>
        </w:rPr>
      </w:pPr>
      <w:r>
        <w:rPr>
          <w:rFonts w:hint="eastAsia" w:eastAsia="仿宋_GB2312"/>
          <w:b/>
          <w:bCs/>
          <w:sz w:val="32"/>
          <w:szCs w:val="32"/>
          <w:highlight w:val="none"/>
          <w:lang w:val="en-US" w:eastAsia="zh-CN"/>
        </w:rPr>
        <w:t>(二)集中力量开展马路市场整治行动。</w:t>
      </w:r>
      <w:r>
        <w:rPr>
          <w:rFonts w:hint="eastAsia" w:eastAsia="仿宋_GB2312"/>
          <w:b w:val="0"/>
          <w:bCs w:val="0"/>
          <w:sz w:val="32"/>
          <w:szCs w:val="32"/>
          <w:highlight w:val="none"/>
          <w:lang w:val="en-US" w:eastAsia="zh-CN"/>
        </w:rPr>
        <w:t>今年以来，贵局继续组织力量对城区占道经营的马路市场进行全面整治。</w:t>
      </w:r>
      <w:r>
        <w:rPr>
          <w:rFonts w:hint="eastAsia" w:eastAsia="仿宋_GB2312"/>
          <w:b/>
          <w:bCs/>
          <w:sz w:val="32"/>
          <w:szCs w:val="32"/>
          <w:highlight w:val="none"/>
          <w:lang w:val="en-US" w:eastAsia="zh-CN"/>
        </w:rPr>
        <w:t>一是</w:t>
      </w:r>
      <w:r>
        <w:rPr>
          <w:rFonts w:hint="eastAsia" w:eastAsia="仿宋_GB2312"/>
          <w:b w:val="0"/>
          <w:bCs w:val="0"/>
          <w:sz w:val="32"/>
          <w:szCs w:val="32"/>
          <w:highlight w:val="none"/>
          <w:lang w:val="en-US" w:eastAsia="zh-CN"/>
        </w:rPr>
        <w:t>雷祖路马路市场整治。雷祖路马路市场形成已久，因出店、占道经营，导致市场附近秩序混乱、道路拥堵，严重影响了附近居民的正常出行。前期贵局会同街道办和社区，逐户逐摊调查摸底形成台账，对摊贩、商户反复多次做思想工作，宣传城市管理法律法规，动员其自行搬离，并对经营户下达了《责令限期改正通知书》。3月19日，贵局联合、环卫、公安、交警、治违办等部门，以及宋家塘街道办事处、荷花社区，对雷祖路马路市场开展集中专项整治，强制取缔出店经营和占道经营行为。整治现场，执法人员设置警示标志，做好执法全过程摄像工作。按照疏堵结合的原则，耐心劝导摊主不要占道经营，为摊主指引规范摆摊点，帮助菜市场店主清除出店经营展架，做好登记造册，维护市场秩序，此次行动累计拆除违章建筑80余处，整治摊贩占道经营行为100余起，取缔流动摊点200余个，依法依规拘留1人。在工作人员的共同努力下，目前雷祖路马路菜场秩序良好。</w:t>
      </w:r>
      <w:r>
        <w:rPr>
          <w:rFonts w:hint="eastAsia" w:eastAsia="仿宋_GB2312"/>
          <w:b/>
          <w:bCs/>
          <w:sz w:val="32"/>
          <w:szCs w:val="32"/>
          <w:highlight w:val="none"/>
          <w:lang w:val="en-US" w:eastAsia="zh-CN"/>
        </w:rPr>
        <w:t>二是</w:t>
      </w:r>
      <w:r>
        <w:rPr>
          <w:rFonts w:hint="eastAsia" w:eastAsia="仿宋_GB2312"/>
          <w:b w:val="0"/>
          <w:bCs w:val="0"/>
          <w:sz w:val="32"/>
          <w:szCs w:val="32"/>
          <w:highlight w:val="none"/>
          <w:lang w:val="en-US" w:eastAsia="zh-CN"/>
        </w:rPr>
        <w:t>书市农贸市场整治。书市农贸市场周边临时摊贩占道经营和周边门店出店经营等乱象蔚然成风，一方面给交通带来拥堵，造成周边居民出行不便，存在交通安全隐患;另一方面菜叶垃圾清理不及时，卫生条件差，严重影响城市文明形象。7月17日，由邵东市宋家塘街道办事处联合贵局、公安、市场服务中心等相关部门共计出动150余人，对书市农贸市场开展集中整治行动。整治行动中，贵局执法人员对书市农贸市场周边临时摊贩占道经营和周边门店出店经营行为进行劝导和制止，对违法违章建筑物实施强制拆除，整治占道经营行为，清除垃圾死角，完善市政基础设施，规范经营户进入市场经营等，并依法依规拘留2人。经过几天集中整治行动，大部分经营户已入市场经营，周边环境焕然一新，得到了广大群众的支持与好评。</w:t>
      </w:r>
      <w:r>
        <w:rPr>
          <w:rFonts w:hint="eastAsia" w:eastAsia="仿宋_GB2312"/>
          <w:b/>
          <w:bCs/>
          <w:sz w:val="32"/>
          <w:szCs w:val="32"/>
          <w:highlight w:val="none"/>
          <w:lang w:val="en-US" w:eastAsia="zh-CN"/>
        </w:rPr>
        <w:t>三是</w:t>
      </w:r>
      <w:r>
        <w:rPr>
          <w:rFonts w:hint="eastAsia" w:eastAsia="仿宋_GB2312"/>
          <w:b w:val="0"/>
          <w:bCs w:val="0"/>
          <w:sz w:val="32"/>
          <w:szCs w:val="32"/>
          <w:highlight w:val="none"/>
          <w:lang w:val="en-US" w:eastAsia="zh-CN"/>
        </w:rPr>
        <w:t>蔬菜水果批发市场整治。9月初，贵局召开专题会议，就贵局职责对该市场整治问题进行专题研究部署，市政府随后也召开会议，决定由大禾塘街道办事处牵头，其他职能部门配合，对蔬菜水果批发市场进行为期一周的集中整治和为期一个月的巩固维护。根据市政府决定，贵局配合大禾塘街道办事处、公安、交警、市场服务中心、环卫服务中心、城东社区等相关部门至邵东蔬菜水果批发市场进行现场勘查，对违规占道的店铺进行了执法检查，与相关当事人做了询问笔录，并依法下达了限期责令整改通知书，责令相关当事人自行清理违规占道物品。随后，相关部门联合对蔬菜水果批发市场开展了集中整治，拆除蔬菜批发市内的违章搭建、围栏、棚架共计150余处，面积2000余平方米，规范沿街商户60余处，劝导流动摊贩40余起，暂扣经营物品28个，规范车辆200余辆，依法依规拘留6人。目前，水果蔬菜批发市场违规棚架已全部拆除，占道经营已基本取缔到位，不仅有效消除了安全隐患，且市容秩序维护良好。</w:t>
      </w:r>
    </w:p>
    <w:p>
      <w:pPr>
        <w:pStyle w:val="2"/>
        <w:ind w:firstLine="643" w:firstLineChars="200"/>
        <w:rPr>
          <w:rFonts w:hint="eastAsia" w:eastAsia="仿宋_GB2312"/>
          <w:b w:val="0"/>
          <w:bCs w:val="0"/>
          <w:sz w:val="32"/>
          <w:szCs w:val="32"/>
          <w:highlight w:val="none"/>
          <w:lang w:val="en-US" w:eastAsia="zh-CN"/>
        </w:rPr>
      </w:pPr>
      <w:r>
        <w:rPr>
          <w:rFonts w:hint="eastAsia" w:eastAsia="仿宋_GB2312"/>
          <w:b/>
          <w:bCs/>
          <w:sz w:val="32"/>
          <w:szCs w:val="32"/>
          <w:highlight w:val="none"/>
          <w:lang w:val="en-US" w:eastAsia="zh-CN"/>
        </w:rPr>
        <w:t>（三）强力开展户外广告专项整治。一是</w:t>
      </w:r>
      <w:r>
        <w:rPr>
          <w:rFonts w:hint="eastAsia" w:eastAsia="仿宋_GB2312"/>
          <w:b w:val="0"/>
          <w:bCs w:val="0"/>
          <w:sz w:val="32"/>
          <w:szCs w:val="32"/>
          <w:highlight w:val="none"/>
          <w:lang w:val="en-US" w:eastAsia="zh-CN"/>
        </w:rPr>
        <w:t xml:space="preserve">6月30日至7月9日参与并协助市教育局开展“校外培训机构专项整治行动”，拆除违规办学机构设置的广告牌共计32块。 </w:t>
      </w:r>
      <w:r>
        <w:rPr>
          <w:rFonts w:hint="eastAsia" w:eastAsia="仿宋_GB2312"/>
          <w:b/>
          <w:bCs/>
          <w:sz w:val="32"/>
          <w:szCs w:val="32"/>
          <w:highlight w:val="none"/>
          <w:lang w:val="en-US" w:eastAsia="zh-CN"/>
        </w:rPr>
        <w:t>二是</w:t>
      </w:r>
      <w:r>
        <w:rPr>
          <w:rFonts w:hint="eastAsia" w:eastAsia="仿宋_GB2312"/>
          <w:b w:val="0"/>
          <w:bCs w:val="0"/>
          <w:sz w:val="32"/>
          <w:szCs w:val="32"/>
          <w:highlight w:val="none"/>
          <w:lang w:val="en-US" w:eastAsia="zh-CN"/>
        </w:rPr>
        <w:t>坚持清理整治邵东城区残破、影响市容、存在安全隐患的广告牌。通过责令广告主(商家)、 聘请专业人员和执法人员路段巡查拆除邵东城区内的各类违规广告设施共计377块，其中包含年久失修、残破废弃、存在安全隐患的广告设施74块，拆除2个安全隐患高炮广告。</w:t>
      </w:r>
      <w:r>
        <w:rPr>
          <w:rFonts w:hint="eastAsia" w:eastAsia="仿宋_GB2312"/>
          <w:b/>
          <w:bCs/>
          <w:sz w:val="32"/>
          <w:szCs w:val="32"/>
          <w:highlight w:val="none"/>
          <w:lang w:val="en-US" w:eastAsia="zh-CN"/>
        </w:rPr>
        <w:t>三是</w:t>
      </w:r>
      <w:r>
        <w:rPr>
          <w:rFonts w:hint="eastAsia" w:eastAsia="仿宋_GB2312"/>
          <w:b w:val="0"/>
          <w:bCs w:val="0"/>
          <w:sz w:val="32"/>
          <w:szCs w:val="32"/>
          <w:highlight w:val="none"/>
          <w:lang w:val="en-US" w:eastAsia="zh-CN"/>
        </w:rPr>
        <w:t>加强对“牛皮癣”的监督管理，严格督促清洁公司加大“牛皮癣”清除力度，做到工作不留死角，营造干净整洁的城市环境，今年以来共累计清除50000余处“牛皮癣”小广告。</w:t>
      </w:r>
    </w:p>
    <w:p>
      <w:pPr>
        <w:pStyle w:val="2"/>
        <w:ind w:firstLine="643" w:firstLineChars="200"/>
        <w:rPr>
          <w:rFonts w:hint="default" w:eastAsia="仿宋_GB2312"/>
          <w:b w:val="0"/>
          <w:bCs w:val="0"/>
          <w:sz w:val="32"/>
          <w:szCs w:val="32"/>
          <w:highlight w:val="none"/>
          <w:lang w:val="en-US" w:eastAsia="zh-CN"/>
        </w:rPr>
      </w:pPr>
      <w:r>
        <w:rPr>
          <w:rFonts w:hint="eastAsia" w:eastAsia="仿宋_GB2312"/>
          <w:b/>
          <w:bCs/>
          <w:sz w:val="32"/>
          <w:szCs w:val="32"/>
          <w:highlight w:val="none"/>
          <w:lang w:val="en-US" w:eastAsia="zh-CN"/>
        </w:rPr>
        <w:t>(四)严格规范人行道停车秩序。一是</w:t>
      </w:r>
      <w:r>
        <w:rPr>
          <w:rFonts w:hint="eastAsia" w:eastAsia="仿宋_GB2312"/>
          <w:b w:val="0"/>
          <w:bCs w:val="0"/>
          <w:sz w:val="32"/>
          <w:szCs w:val="32"/>
          <w:highlight w:val="none"/>
          <w:lang w:val="en-US" w:eastAsia="zh-CN"/>
        </w:rPr>
        <w:t>优化改善城区通行条件，对人行道乱停乱摆和违章的车辆加大处罚力度，对城区长期占用道路的“僵尸车”及违规停放的非机动车，进行排查和清理。行动中，违停中队队员先后对金龙大道、东风路、景绣路、桃园路等主次干道人行道上的“僵尸车”、乱停乱放车辆以及随意停放的非机动车进行重点整治，整治行动拖吊“僵尸车”5辆。全年劝离“僵尸车”32辆，拖吊“僵尸车”8辆，进一步规范了市民停车行为，优化了城区公共停车秩序。</w:t>
      </w:r>
      <w:r>
        <w:rPr>
          <w:rFonts w:hint="eastAsia" w:eastAsia="仿宋_GB2312"/>
          <w:b/>
          <w:bCs/>
          <w:sz w:val="32"/>
          <w:szCs w:val="32"/>
          <w:highlight w:val="none"/>
          <w:lang w:val="en-US" w:eastAsia="zh-CN"/>
        </w:rPr>
        <w:t>二是</w:t>
      </w:r>
      <w:r>
        <w:rPr>
          <w:rFonts w:hint="eastAsia" w:eastAsia="仿宋_GB2312"/>
          <w:b w:val="0"/>
          <w:bCs w:val="0"/>
          <w:sz w:val="32"/>
          <w:szCs w:val="32"/>
          <w:highlight w:val="none"/>
          <w:lang w:val="en-US" w:eastAsia="zh-CN"/>
        </w:rPr>
        <w:t>近几年来随着私家车辆的递增，停车位不能满足居民需要，人车争道现象凸显，特别是在自己家门面门口，业主店门口的人行横道上，居民为了停车私自安装地锁，给老人、小孩的出行留下安全隐患，针对人行道、公共车位被“霸道”加上地锁不文明现象，7月12日，三个片区和开发区分局工作人员协助违停中队对私自安装的地锁，利用专业的工具进行拆除，共拆除了420个，全年拆除617个。</w:t>
      </w:r>
      <w:r>
        <w:rPr>
          <w:rFonts w:hint="eastAsia" w:eastAsia="仿宋_GB2312"/>
          <w:b/>
          <w:bCs/>
          <w:sz w:val="32"/>
          <w:szCs w:val="32"/>
          <w:highlight w:val="none"/>
          <w:lang w:val="en-US" w:eastAsia="zh-CN"/>
        </w:rPr>
        <w:t>三是</w:t>
      </w:r>
      <w:r>
        <w:rPr>
          <w:rFonts w:hint="eastAsia" w:eastAsia="仿宋_GB2312"/>
          <w:b w:val="0"/>
          <w:bCs w:val="0"/>
          <w:sz w:val="32"/>
          <w:szCs w:val="32"/>
          <w:highlight w:val="none"/>
          <w:lang w:val="en-US" w:eastAsia="zh-CN"/>
        </w:rPr>
        <w:t>对邵东城区人行道上乱停乱摆的车辆进行整治,对违反道路交通安全法律、法规关于机动车停放，临时停车规定的，对车主指出违法行为，并令其立即驶离，对机动车驾驶员不在现场或虽在现场但拒绝立即驶离的进行抄牌处理。今年以来，共抄牌处罚违章车辆4822台次。</w:t>
      </w:r>
    </w:p>
    <w:bookmarkEnd w:id="18"/>
    <w:p>
      <w:pPr>
        <w:pStyle w:val="15"/>
        <w:widowControl/>
        <w:spacing w:line="600" w:lineRule="exact"/>
        <w:ind w:firstLine="0" w:firstLineChars="0"/>
        <w:outlineLvl w:val="0"/>
        <w:rPr>
          <w:rFonts w:hint="default" w:ascii="Times New Roman" w:hAnsi="Times New Roman" w:eastAsia="黑体" w:cs="Times New Roman"/>
          <w:sz w:val="32"/>
          <w:szCs w:val="32"/>
          <w:highlight w:val="none"/>
        </w:rPr>
      </w:pPr>
      <w:bookmarkStart w:id="19" w:name="_Toc25840"/>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存在的问题及原因分析</w:t>
      </w:r>
    </w:p>
    <w:p>
      <w:pPr>
        <w:keepNext w:val="0"/>
        <w:keepLines w:val="0"/>
        <w:pageBreakBefore w:val="0"/>
        <w:widowControl w:val="0"/>
        <w:shd w:val="clear" w:color="auto" w:fill="auto"/>
        <w:kinsoku/>
        <w:wordWrap/>
        <w:overflowPunct/>
        <w:topLinePunct w:val="0"/>
        <w:autoSpaceDE/>
        <w:autoSpaceDN/>
        <w:bidi w:val="0"/>
        <w:adjustRightInd w:val="0"/>
        <w:snapToGrid w:val="0"/>
        <w:spacing w:line="620" w:lineRule="exact"/>
        <w:ind w:firstLine="643" w:firstLineChars="200"/>
        <w:textAlignment w:val="auto"/>
        <w:rPr>
          <w:rFonts w:hint="eastAsia" w:eastAsia="仿宋" w:cs="Times New Roman"/>
          <w:b w:val="0"/>
          <w:bCs/>
          <w:sz w:val="32"/>
          <w:szCs w:val="32"/>
          <w:highlight w:val="none"/>
          <w:lang w:val="en-US" w:eastAsia="zh-CN"/>
        </w:rPr>
      </w:pPr>
      <w:r>
        <w:rPr>
          <w:rFonts w:hint="eastAsia" w:ascii="楷体" w:hAnsi="楷体" w:eastAsia="楷体" w:cs="楷体"/>
          <w:b/>
          <w:bCs/>
          <w:color w:val="000000"/>
          <w:kern w:val="0"/>
          <w:sz w:val="32"/>
          <w:szCs w:val="32"/>
          <w:u w:val="none"/>
          <w:lang w:val="en-US" w:eastAsia="zh-CN" w:bidi="ar-SA"/>
        </w:rPr>
        <w:t>（一）政府采购执行率稍低。</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default"/>
          <w:lang w:val="en-US" w:eastAsia="zh-CN"/>
        </w:rPr>
      </w:pPr>
      <w:r>
        <w:rPr>
          <w:rFonts w:hint="eastAsia" w:eastAsia="仿宋_GB2312"/>
          <w:sz w:val="32"/>
          <w:szCs w:val="32"/>
        </w:rPr>
        <w:t>邵东市</w:t>
      </w:r>
      <w:r>
        <w:rPr>
          <w:rFonts w:hint="eastAsia" w:eastAsia="仿宋_GB2312"/>
          <w:sz w:val="32"/>
          <w:szCs w:val="32"/>
          <w:lang w:val="en-US" w:eastAsia="zh-CN"/>
        </w:rPr>
        <w:t>城市管理和综合执法局</w:t>
      </w:r>
      <w:r>
        <w:rPr>
          <w:rFonts w:eastAsia="仿宋"/>
          <w:bCs/>
          <w:sz w:val="32"/>
          <w:szCs w:val="32"/>
          <w:highlight w:val="none"/>
        </w:rPr>
        <w:t>2021年度政府采购预算</w:t>
      </w:r>
      <w:r>
        <w:rPr>
          <w:rFonts w:hint="eastAsia" w:eastAsia="仿宋"/>
          <w:bCs/>
          <w:sz w:val="32"/>
          <w:szCs w:val="32"/>
          <w:highlight w:val="none"/>
          <w:lang w:val="en-US" w:eastAsia="zh-CN"/>
        </w:rPr>
        <w:t>32</w:t>
      </w:r>
      <w:r>
        <w:rPr>
          <w:rFonts w:eastAsia="仿宋"/>
          <w:bCs/>
          <w:sz w:val="32"/>
          <w:szCs w:val="32"/>
          <w:highlight w:val="none"/>
        </w:rPr>
        <w:t>万元，</w:t>
      </w:r>
      <w:r>
        <w:rPr>
          <w:rFonts w:hint="default" w:ascii="Times New Roman" w:hAnsi="Times New Roman" w:eastAsia="仿宋" w:cs="Times New Roman"/>
          <w:b w:val="0"/>
          <w:bCs/>
          <w:sz w:val="32"/>
          <w:szCs w:val="32"/>
          <w:lang w:val="en-US" w:eastAsia="zh-CN"/>
        </w:rPr>
        <w:t>实际</w:t>
      </w:r>
      <w:r>
        <w:rPr>
          <w:rFonts w:hint="eastAsia" w:eastAsia="仿宋" w:cs="Times New Roman"/>
          <w:b w:val="0"/>
          <w:bCs/>
          <w:sz w:val="32"/>
          <w:szCs w:val="32"/>
          <w:lang w:val="en-US" w:eastAsia="zh-CN"/>
        </w:rPr>
        <w:t>支付4.49</w:t>
      </w:r>
      <w:r>
        <w:rPr>
          <w:rFonts w:hint="default" w:ascii="Times New Roman" w:hAnsi="Times New Roman" w:eastAsia="仿宋" w:cs="Times New Roman"/>
          <w:b w:val="0"/>
          <w:bCs/>
          <w:sz w:val="32"/>
          <w:szCs w:val="32"/>
          <w:lang w:val="en-US" w:eastAsia="zh-CN"/>
        </w:rPr>
        <w:t>万元，</w:t>
      </w:r>
      <w:r>
        <w:rPr>
          <w:rFonts w:hint="eastAsia" w:eastAsia="仿宋" w:cs="Times New Roman"/>
          <w:b w:val="0"/>
          <w:bCs/>
          <w:sz w:val="32"/>
          <w:szCs w:val="32"/>
          <w:lang w:val="en-US" w:eastAsia="zh-CN"/>
        </w:rPr>
        <w:t>其中：政府采购货物支出4.49万元，</w:t>
      </w:r>
      <w:r>
        <w:rPr>
          <w:rFonts w:hint="default" w:ascii="Times New Roman" w:hAnsi="Times New Roman" w:eastAsia="仿宋" w:cs="Times New Roman"/>
          <w:b w:val="0"/>
          <w:bCs/>
          <w:sz w:val="32"/>
          <w:szCs w:val="32"/>
          <w:lang w:val="en-US" w:eastAsia="zh-CN"/>
        </w:rPr>
        <w:t>政府采购预算执行率为</w:t>
      </w:r>
      <w:r>
        <w:rPr>
          <w:rFonts w:hint="eastAsia" w:eastAsia="仿宋" w:cs="Times New Roman"/>
          <w:b w:val="0"/>
          <w:bCs/>
          <w:sz w:val="32"/>
          <w:szCs w:val="32"/>
          <w:lang w:val="en-US" w:eastAsia="zh-CN"/>
        </w:rPr>
        <w:t>14.03</w:t>
      </w:r>
      <w:r>
        <w:rPr>
          <w:rFonts w:hint="default" w:ascii="Times New Roman" w:hAnsi="Times New Roman" w:eastAsia="仿宋" w:cs="Times New Roman"/>
          <w:b w:val="0"/>
          <w:bCs/>
          <w:sz w:val="32"/>
          <w:szCs w:val="32"/>
          <w:lang w:val="en-US" w:eastAsia="zh-CN"/>
        </w:rPr>
        <w:t>%</w:t>
      </w:r>
      <w:r>
        <w:rPr>
          <w:rFonts w:hint="eastAsia" w:eastAsia="仿宋" w:cs="Times New Roman"/>
          <w:b w:val="0"/>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3" w:firstLineChars="200"/>
        <w:jc w:val="both"/>
        <w:textAlignment w:val="auto"/>
        <w:rPr>
          <w:rFonts w:hint="eastAsia" w:eastAsia="仿宋" w:cs="Times New Roman"/>
          <w:b/>
          <w:bCs/>
          <w:sz w:val="32"/>
          <w:szCs w:val="32"/>
          <w:lang w:val="en-US" w:eastAsia="zh-CN"/>
        </w:rPr>
      </w:pPr>
      <w:r>
        <w:rPr>
          <w:rFonts w:hint="eastAsia" w:ascii="楷体" w:hAnsi="楷体" w:eastAsia="楷体" w:cs="楷体"/>
          <w:b/>
          <w:bCs/>
          <w:color w:val="000000"/>
          <w:kern w:val="0"/>
          <w:sz w:val="32"/>
          <w:szCs w:val="32"/>
          <w:u w:val="none"/>
          <w:lang w:val="en-US" w:eastAsia="zh-CN" w:bidi="ar-SA"/>
        </w:rPr>
        <w:t>（二）部分固定资产信息与实际不符</w:t>
      </w:r>
    </w:p>
    <w:p>
      <w:pPr>
        <w:pStyle w:val="2"/>
        <w:keepNext w:val="0"/>
        <w:keepLines w:val="0"/>
        <w:pageBreakBefore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固定盘点流于形式，仅每年在行政事业单位资产管理系统制作账面数量与盘点数量一致的盘点表，未严格按照盘点流程开展固定资产盘点工作，导致固定资产使用中出现的差异未及时发现，长年累月造成部分资产实际数量不清楚及使用人不明确。</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Chars="0" w:firstLine="643" w:firstLineChars="200"/>
        <w:textAlignment w:val="auto"/>
        <w:rPr>
          <w:rFonts w:hint="eastAsia" w:ascii="楷体" w:hAnsi="楷体" w:eastAsia="楷体" w:cs="楷体"/>
          <w:b/>
          <w:bCs/>
          <w:color w:val="auto"/>
          <w:kern w:val="0"/>
          <w:sz w:val="32"/>
          <w:szCs w:val="32"/>
          <w:highlight w:val="none"/>
          <w:u w:val="none"/>
          <w:lang w:val="en-US" w:eastAsia="zh-CN" w:bidi="ar-SA"/>
        </w:rPr>
      </w:pPr>
      <w:r>
        <w:rPr>
          <w:rFonts w:hint="eastAsia" w:ascii="楷体" w:hAnsi="楷体" w:eastAsia="楷体" w:cs="楷体"/>
          <w:b/>
          <w:bCs/>
          <w:color w:val="auto"/>
          <w:kern w:val="0"/>
          <w:sz w:val="32"/>
          <w:szCs w:val="32"/>
          <w:highlight w:val="none"/>
          <w:u w:val="none"/>
          <w:lang w:val="en-US" w:eastAsia="zh-CN" w:bidi="ar-SA"/>
        </w:rPr>
        <w:t>（三）绩效指标设置有待加强。</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Chars="0" w:firstLine="635" w:firstLineChars="200"/>
        <w:textAlignment w:val="auto"/>
        <w:rPr>
          <w:rFonts w:hint="eastAsia"/>
          <w:lang w:val="en-US" w:eastAsia="zh-CN"/>
        </w:rPr>
      </w:pPr>
      <w:r>
        <w:rPr>
          <w:rFonts w:hint="eastAsia" w:eastAsia="仿宋_GB2312" w:cs="Times New Roman"/>
          <w:b/>
          <w:bCs/>
          <w:color w:val="auto"/>
          <w:spacing w:val="-2"/>
          <w:kern w:val="2"/>
          <w:sz w:val="32"/>
          <w:szCs w:val="32"/>
          <w:highlight w:val="none"/>
          <w:lang w:val="en-US" w:eastAsia="zh-CN" w:bidi="ar-SA"/>
        </w:rPr>
        <w:t>一是</w:t>
      </w:r>
      <w:r>
        <w:rPr>
          <w:rFonts w:hint="eastAsia" w:eastAsia="仿宋_GB2312" w:cs="Times New Roman"/>
          <w:color w:val="auto"/>
          <w:spacing w:val="-2"/>
          <w:kern w:val="2"/>
          <w:sz w:val="32"/>
          <w:szCs w:val="32"/>
          <w:highlight w:val="none"/>
          <w:lang w:val="en-US" w:eastAsia="zh-CN" w:bidi="ar-SA"/>
        </w:rPr>
        <w:t>在设置指标内容方面，未将绩效目标细化分解成具体的工作任务。如：数量和质量指标仅设置了“调研报告调研工作”一项与绩效目标相关的内容；</w:t>
      </w:r>
      <w:r>
        <w:rPr>
          <w:rFonts w:hint="eastAsia" w:eastAsia="仿宋_GB2312" w:cs="Times New Roman"/>
          <w:b/>
          <w:bCs/>
          <w:color w:val="auto"/>
          <w:spacing w:val="-2"/>
          <w:kern w:val="2"/>
          <w:sz w:val="32"/>
          <w:szCs w:val="32"/>
          <w:highlight w:val="none"/>
          <w:lang w:val="en-US" w:eastAsia="zh-CN" w:bidi="ar-SA"/>
        </w:rPr>
        <w:t>二是</w:t>
      </w:r>
      <w:r>
        <w:rPr>
          <w:rFonts w:hint="eastAsia" w:eastAsia="仿宋_GB2312" w:cs="Times New Roman"/>
          <w:b w:val="0"/>
          <w:bCs w:val="0"/>
          <w:color w:val="auto"/>
          <w:spacing w:val="-2"/>
          <w:kern w:val="2"/>
          <w:sz w:val="32"/>
          <w:szCs w:val="32"/>
          <w:highlight w:val="none"/>
          <w:lang w:val="en-US" w:eastAsia="zh-CN" w:bidi="ar-SA"/>
        </w:rPr>
        <w:t>在</w:t>
      </w:r>
      <w:r>
        <w:rPr>
          <w:rFonts w:hint="eastAsia" w:eastAsia="仿宋_GB2312" w:cs="Times New Roman"/>
          <w:color w:val="auto"/>
          <w:spacing w:val="-2"/>
          <w:kern w:val="2"/>
          <w:sz w:val="32"/>
          <w:szCs w:val="32"/>
          <w:highlight w:val="none"/>
          <w:lang w:val="en-US" w:eastAsia="zh-CN" w:bidi="ar-SA"/>
        </w:rPr>
        <w:t>设置指标值方面，部分指标值不清晰、不可衡量。如：效益指标值设置为“逐步提高”。</w:t>
      </w:r>
    </w:p>
    <w:bookmarkEnd w:id="19"/>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改进措施及有关</w:t>
      </w:r>
      <w:r>
        <w:rPr>
          <w:rFonts w:hint="eastAsia" w:ascii="黑体" w:hAnsi="黑体" w:eastAsia="黑体" w:cs="黑体"/>
          <w:b w:val="0"/>
          <w:bCs w:val="0"/>
          <w:color w:val="auto"/>
          <w:kern w:val="0"/>
          <w:sz w:val="32"/>
          <w:szCs w:val="32"/>
          <w:highlight w:val="none"/>
        </w:rPr>
        <w:t>建议</w:t>
      </w:r>
    </w:p>
    <w:p>
      <w:pPr>
        <w:pStyle w:val="2"/>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000000"/>
          <w:kern w:val="0"/>
          <w:sz w:val="32"/>
          <w:szCs w:val="32"/>
          <w:lang w:val="en-US" w:eastAsia="zh-CN"/>
        </w:rPr>
      </w:pPr>
      <w:r>
        <w:rPr>
          <w:rFonts w:hint="eastAsia" w:ascii="楷体" w:hAnsi="楷体" w:eastAsia="楷体" w:cs="楷体"/>
          <w:b/>
          <w:bCs/>
          <w:color w:val="000000"/>
          <w:kern w:val="0"/>
          <w:sz w:val="32"/>
          <w:szCs w:val="32"/>
          <w:lang w:val="en-US" w:eastAsia="zh-CN"/>
        </w:rPr>
        <w:t>（一）认真</w:t>
      </w:r>
      <w:r>
        <w:rPr>
          <w:rFonts w:hint="eastAsia" w:ascii="楷体" w:hAnsi="楷体" w:eastAsia="楷体" w:cs="楷体"/>
          <w:b/>
          <w:bCs/>
          <w:color w:val="000000"/>
          <w:kern w:val="0"/>
          <w:sz w:val="32"/>
          <w:szCs w:val="32"/>
          <w:lang w:val="en-US" w:eastAsia="zh-CN" w:bidi="ar-SA"/>
        </w:rPr>
        <w:t>执行政府采购手续，切实提高政府采购执行率。</w:t>
      </w:r>
      <w:r>
        <w:rPr>
          <w:rFonts w:hint="eastAsia" w:ascii="仿宋" w:hAnsi="仿宋" w:eastAsia="仿宋" w:cs="仿宋"/>
          <w:color w:val="000000"/>
          <w:kern w:val="0"/>
          <w:sz w:val="32"/>
          <w:szCs w:val="32"/>
          <w:lang w:val="en-US" w:eastAsia="zh-CN" w:bidi="ar-SA"/>
        </w:rPr>
        <w:t>组织办公室、财务科等相关人员学习政府采购政策和制度要求，按照工作需要精准编制政府采购预算，节约财政资金，提高政府采购执行率。</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firstLine="643" w:firstLineChars="200"/>
        <w:jc w:val="both"/>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（二）加强资产管理，做好政府“管家”角色。</w:t>
      </w:r>
    </w:p>
    <w:p>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按照资产管理制度规定合理购置、配置、处置固定资产，至少每年进行一次以上资产盘点，同时定期或不定期组织人员抽查账实相符情况，建立考核机制，以保证盘点效果，资产调拨、更换、处置、借出时均及时更新信息，以保证资产账实相符。</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3" w:firstLineChars="200"/>
        <w:textAlignment w:val="auto"/>
        <w:rPr>
          <w:rFonts w:hint="eastAsia" w:ascii="仿宋" w:hAnsi="仿宋" w:eastAsia="仿宋" w:cs="仿宋"/>
          <w:b w:val="0"/>
          <w:bCs w:val="0"/>
          <w:color w:val="000000"/>
          <w:kern w:val="0"/>
          <w:sz w:val="32"/>
          <w:szCs w:val="32"/>
          <w:highlight w:val="none"/>
          <w:lang w:val="en-US" w:eastAsia="zh-CN" w:bidi="ar-SA"/>
        </w:rPr>
      </w:pPr>
      <w:r>
        <w:rPr>
          <w:rFonts w:hint="eastAsia" w:ascii="楷体" w:hAnsi="楷体" w:eastAsia="楷体" w:cs="楷体"/>
          <w:b/>
          <w:bCs/>
          <w:color w:val="000000"/>
          <w:kern w:val="0"/>
          <w:sz w:val="32"/>
          <w:szCs w:val="32"/>
          <w:highlight w:val="none"/>
          <w:lang w:val="en-US" w:eastAsia="zh-CN"/>
        </w:rPr>
        <w:t>（三）</w:t>
      </w:r>
      <w:r>
        <w:rPr>
          <w:rFonts w:hint="eastAsia" w:ascii="楷体" w:hAnsi="楷体" w:eastAsia="楷体" w:cs="楷体"/>
          <w:b/>
          <w:bCs/>
          <w:color w:val="000000"/>
          <w:kern w:val="0"/>
          <w:sz w:val="32"/>
          <w:szCs w:val="32"/>
          <w:lang w:val="en-US" w:eastAsia="zh-CN" w:bidi="ar-SA"/>
        </w:rPr>
        <w:t>增强绩效目标意识，</w:t>
      </w:r>
      <w:r>
        <w:rPr>
          <w:rFonts w:hint="eastAsia" w:ascii="楷体" w:hAnsi="楷体" w:eastAsia="楷体" w:cs="楷体"/>
          <w:b/>
          <w:bCs/>
          <w:color w:val="000000"/>
          <w:kern w:val="0"/>
          <w:sz w:val="32"/>
          <w:szCs w:val="32"/>
          <w:highlight w:val="none"/>
          <w:lang w:val="en-US" w:eastAsia="zh-CN" w:bidi="ar-SA"/>
        </w:rPr>
        <w:t>强化绩效指标考核体系。</w:t>
      </w:r>
      <w:r>
        <w:rPr>
          <w:rFonts w:hint="eastAsia" w:ascii="仿宋" w:hAnsi="仿宋" w:eastAsia="仿宋" w:cs="仿宋"/>
          <w:b w:val="0"/>
          <w:bCs w:val="0"/>
          <w:color w:val="000000"/>
          <w:kern w:val="0"/>
          <w:sz w:val="32"/>
          <w:szCs w:val="32"/>
          <w:lang w:val="en-US" w:eastAsia="zh-CN" w:bidi="ar-SA"/>
        </w:rPr>
        <w:t>加强绩效目标与指标的设定培训，按照绩效目标编制要求，根据年度工作计</w:t>
      </w:r>
      <w:r>
        <w:rPr>
          <w:rFonts w:hint="eastAsia" w:ascii="仿宋" w:hAnsi="仿宋" w:eastAsia="仿宋" w:cs="仿宋"/>
          <w:color w:val="000000"/>
          <w:kern w:val="0"/>
          <w:sz w:val="32"/>
          <w:szCs w:val="32"/>
          <w:lang w:val="en-US" w:eastAsia="zh-CN" w:bidi="ar-SA"/>
        </w:rPr>
        <w:t>划编制</w:t>
      </w:r>
      <w:r>
        <w:rPr>
          <w:rFonts w:hint="eastAsia" w:ascii="仿宋" w:hAnsi="仿宋" w:eastAsia="仿宋" w:cs="仿宋"/>
          <w:b w:val="0"/>
          <w:bCs w:val="0"/>
          <w:color w:val="000000"/>
          <w:kern w:val="0"/>
          <w:sz w:val="32"/>
          <w:szCs w:val="32"/>
          <w:highlight w:val="none"/>
          <w:lang w:val="en-US" w:eastAsia="zh-CN" w:bidi="ar-SA"/>
        </w:rPr>
        <w:t>整体</w:t>
      </w:r>
      <w:r>
        <w:rPr>
          <w:rFonts w:hint="eastAsia" w:ascii="仿宋" w:hAnsi="仿宋" w:eastAsia="仿宋" w:cs="仿宋"/>
          <w:color w:val="000000"/>
          <w:kern w:val="0"/>
          <w:sz w:val="32"/>
          <w:szCs w:val="32"/>
          <w:lang w:val="en-US" w:eastAsia="zh-CN" w:bidi="ar-SA"/>
        </w:rPr>
        <w:t>绩效目标，</w:t>
      </w:r>
      <w:r>
        <w:rPr>
          <w:rFonts w:hint="eastAsia" w:ascii="仿宋" w:hAnsi="仿宋" w:eastAsia="仿宋" w:cs="仿宋"/>
          <w:b w:val="0"/>
          <w:bCs w:val="0"/>
          <w:color w:val="000000"/>
          <w:kern w:val="0"/>
          <w:sz w:val="32"/>
          <w:szCs w:val="32"/>
          <w:highlight w:val="none"/>
          <w:lang w:val="en-US" w:eastAsia="zh-CN" w:bidi="ar-SA"/>
        </w:rPr>
        <w:t>遵循确定绩效指标时应考虑的相关性、重要性、可比性、系统性、经济性五大原则，将整体绩效目标细化分解成具体任务，设定清晰、可衡量的绩效指标，作为预算部门执行和绩效评价的依据。</w:t>
      </w:r>
    </w:p>
    <w:p>
      <w:pPr>
        <w:pStyle w:val="2"/>
        <w:rPr>
          <w:rFonts w:hint="eastAsia" w:ascii="仿宋" w:hAnsi="仿宋" w:eastAsia="仿宋" w:cs="仿宋"/>
          <w:color w:val="000000"/>
          <w:kern w:val="0"/>
          <w:sz w:val="32"/>
          <w:szCs w:val="32"/>
          <w:lang w:val="en-US" w:eastAsia="zh-CN" w:bidi="ar-SA"/>
        </w:rPr>
      </w:pPr>
    </w:p>
    <w:p>
      <w:pPr>
        <w:pStyle w:val="2"/>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附件：1、部门整体支出绩效评价指标评分表</w:t>
      </w:r>
    </w:p>
    <w:p>
      <w:pPr>
        <w:pStyle w:val="2"/>
        <w:ind w:firstLine="960" w:firstLineChars="3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2、部门整体支出绩效评价指标评分说明</w:t>
      </w:r>
    </w:p>
    <w:p>
      <w:pPr>
        <w:pStyle w:val="2"/>
        <w:ind w:firstLine="640"/>
        <w:rPr>
          <w:rFonts w:ascii="仿宋" w:hAnsi="仿宋" w:eastAsia="仿宋" w:cs="仿宋"/>
          <w:color w:val="000000"/>
          <w:kern w:val="0"/>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仿宋_GB2312"/>
          <w:sz w:val="32"/>
          <w:szCs w:val="32"/>
        </w:rPr>
      </w:pPr>
      <w:r>
        <w:rPr>
          <w:rFonts w:eastAsia="黑体"/>
          <w:sz w:val="32"/>
          <w:szCs w:val="32"/>
        </w:rPr>
        <w:t>附件1</w:t>
      </w:r>
    </w:p>
    <w:p>
      <w:pPr>
        <w:spacing w:before="120" w:beforeLines="50" w:after="120" w:afterLines="50"/>
        <w:jc w:val="center"/>
        <w:rPr>
          <w:rFonts w:hint="eastAsia" w:eastAsia="方正小标宋_GBK"/>
          <w:bCs/>
          <w:sz w:val="36"/>
          <w:szCs w:val="36"/>
          <w:lang w:eastAsia="zh-CN"/>
        </w:rPr>
      </w:pPr>
      <w:r>
        <w:rPr>
          <w:rFonts w:eastAsia="方正小标宋_GBK"/>
          <w:bCs/>
          <w:sz w:val="36"/>
          <w:szCs w:val="36"/>
        </w:rPr>
        <w:t>部门整体支出绩效评价</w:t>
      </w:r>
      <w:r>
        <w:rPr>
          <w:rFonts w:hint="eastAsia" w:eastAsia="方正小标宋_GBK"/>
          <w:bCs/>
          <w:sz w:val="36"/>
          <w:szCs w:val="36"/>
          <w:lang w:eastAsia="zh-CN"/>
        </w:rPr>
        <w:t>指标评分表</w:t>
      </w:r>
    </w:p>
    <w:tbl>
      <w:tblPr>
        <w:tblStyle w:val="11"/>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598"/>
        <w:gridCol w:w="675"/>
        <w:gridCol w:w="706"/>
        <w:gridCol w:w="2239"/>
        <w:gridCol w:w="358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585" w:type="dxa"/>
            <w:noWrap w:val="0"/>
            <w:tcMar>
              <w:top w:w="10" w:type="dxa"/>
              <w:left w:w="10" w:type="dxa"/>
              <w:bottom w:w="0" w:type="dxa"/>
              <w:right w:w="10" w:type="dxa"/>
            </w:tcMar>
            <w:vAlign w:val="center"/>
          </w:tcPr>
          <w:p>
            <w:pPr>
              <w:jc w:val="center"/>
              <w:rPr>
                <w:rFonts w:hint="eastAsia" w:ascii="仿宋_GB2312" w:eastAsia="仿宋_GB2312"/>
                <w:b/>
                <w:bCs/>
                <w:szCs w:val="21"/>
                <w:highlight w:val="none"/>
                <w:lang w:eastAsia="zh-CN"/>
              </w:rPr>
            </w:pPr>
            <w:r>
              <w:rPr>
                <w:rFonts w:hint="eastAsia" w:ascii="仿宋_GB2312" w:eastAsia="仿宋_GB2312"/>
                <w:b/>
                <w:bCs/>
                <w:szCs w:val="21"/>
                <w:highlight w:val="none"/>
              </w:rPr>
              <w:t>一级</w:t>
            </w:r>
          </w:p>
          <w:p>
            <w:pPr>
              <w:jc w:val="center"/>
              <w:rPr>
                <w:rFonts w:hint="eastAsia" w:ascii="仿宋_GB2312" w:eastAsia="仿宋_GB2312"/>
                <w:b/>
                <w:bCs/>
                <w:szCs w:val="21"/>
                <w:highlight w:val="none"/>
              </w:rPr>
            </w:pPr>
            <w:r>
              <w:rPr>
                <w:rFonts w:hint="eastAsia" w:ascii="仿宋_GB2312" w:eastAsia="仿宋_GB2312"/>
                <w:b/>
                <w:bCs/>
                <w:szCs w:val="21"/>
                <w:highlight w:val="none"/>
              </w:rPr>
              <w:t>指标</w:t>
            </w:r>
          </w:p>
        </w:tc>
        <w:tc>
          <w:tcPr>
            <w:tcW w:w="598" w:type="dxa"/>
            <w:noWrap w:val="0"/>
            <w:tcMar>
              <w:top w:w="10" w:type="dxa"/>
              <w:left w:w="10" w:type="dxa"/>
              <w:bottom w:w="0" w:type="dxa"/>
              <w:right w:w="10" w:type="dxa"/>
            </w:tcMar>
            <w:vAlign w:val="center"/>
          </w:tcPr>
          <w:p>
            <w:pPr>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二级</w:t>
            </w:r>
          </w:p>
          <w:p>
            <w:pPr>
              <w:spacing w:line="320" w:lineRule="exact"/>
              <w:jc w:val="center"/>
              <w:rPr>
                <w:rFonts w:hint="eastAsia" w:ascii="仿宋_GB2312" w:eastAsia="仿宋_GB2312"/>
                <w:szCs w:val="21"/>
                <w:highlight w:val="none"/>
              </w:rPr>
            </w:pPr>
            <w:r>
              <w:rPr>
                <w:rFonts w:hint="eastAsia" w:ascii="仿宋_GB2312" w:eastAsia="仿宋_GB2312"/>
                <w:b/>
                <w:bCs/>
                <w:szCs w:val="21"/>
                <w:highlight w:val="none"/>
              </w:rPr>
              <w:t>指标</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三级</w:t>
            </w:r>
          </w:p>
          <w:p>
            <w:pPr>
              <w:spacing w:line="320" w:lineRule="exact"/>
              <w:jc w:val="center"/>
              <w:rPr>
                <w:rFonts w:hint="eastAsia" w:ascii="仿宋_GB2312" w:eastAsia="仿宋_GB2312"/>
                <w:szCs w:val="21"/>
                <w:highlight w:val="none"/>
              </w:rPr>
            </w:pPr>
            <w:r>
              <w:rPr>
                <w:rFonts w:hint="eastAsia" w:ascii="仿宋_GB2312" w:eastAsia="仿宋_GB2312"/>
                <w:b/>
                <w:bCs/>
                <w:szCs w:val="21"/>
                <w:highlight w:val="none"/>
              </w:rPr>
              <w:t>指标</w:t>
            </w:r>
          </w:p>
        </w:tc>
        <w:tc>
          <w:tcPr>
            <w:tcW w:w="706" w:type="dxa"/>
            <w:noWrap w:val="0"/>
            <w:tcMar>
              <w:top w:w="10" w:type="dxa"/>
              <w:left w:w="10" w:type="dxa"/>
              <w:bottom w:w="0" w:type="dxa"/>
              <w:right w:w="10" w:type="dxa"/>
            </w:tcMar>
            <w:vAlign w:val="center"/>
          </w:tcPr>
          <w:p>
            <w:pPr>
              <w:ind w:left="105" w:leftChars="50" w:right="105" w:rightChars="50"/>
              <w:jc w:val="center"/>
              <w:rPr>
                <w:rFonts w:hint="eastAsia" w:ascii="仿宋_GB2312" w:eastAsia="仿宋_GB2312"/>
                <w:b/>
                <w:bCs/>
                <w:szCs w:val="21"/>
                <w:highlight w:val="none"/>
                <w:lang w:eastAsia="zh-CN"/>
              </w:rPr>
            </w:pPr>
            <w:r>
              <w:rPr>
                <w:rFonts w:hint="eastAsia" w:ascii="仿宋_GB2312" w:eastAsia="仿宋_GB2312"/>
                <w:b/>
                <w:bCs/>
                <w:szCs w:val="21"/>
                <w:highlight w:val="none"/>
                <w:lang w:eastAsia="zh-CN"/>
              </w:rPr>
              <w:t>分值</w:t>
            </w:r>
          </w:p>
        </w:tc>
        <w:tc>
          <w:tcPr>
            <w:tcW w:w="2239" w:type="dxa"/>
            <w:noWrap w:val="0"/>
            <w:tcMar>
              <w:top w:w="10" w:type="dxa"/>
              <w:left w:w="10" w:type="dxa"/>
              <w:bottom w:w="0" w:type="dxa"/>
              <w:right w:w="10" w:type="dxa"/>
            </w:tcMar>
            <w:vAlign w:val="center"/>
          </w:tcPr>
          <w:p>
            <w:pPr>
              <w:ind w:left="105" w:leftChars="50" w:right="105" w:rightChars="50"/>
              <w:jc w:val="center"/>
              <w:rPr>
                <w:rFonts w:hint="eastAsia" w:ascii="仿宋_GB2312" w:eastAsia="仿宋_GB2312"/>
                <w:b/>
                <w:bCs/>
                <w:szCs w:val="21"/>
                <w:highlight w:val="none"/>
              </w:rPr>
            </w:pPr>
            <w:r>
              <w:rPr>
                <w:rFonts w:hint="eastAsia" w:ascii="仿宋_GB2312" w:eastAsia="仿宋_GB2312"/>
                <w:b/>
                <w:bCs/>
                <w:szCs w:val="21"/>
                <w:highlight w:val="none"/>
              </w:rPr>
              <w:t>指标解释</w:t>
            </w:r>
          </w:p>
        </w:tc>
        <w:tc>
          <w:tcPr>
            <w:tcW w:w="3582" w:type="dxa"/>
            <w:noWrap w:val="0"/>
            <w:tcMar>
              <w:top w:w="10" w:type="dxa"/>
              <w:left w:w="10" w:type="dxa"/>
              <w:bottom w:w="0" w:type="dxa"/>
              <w:right w:w="10" w:type="dxa"/>
            </w:tcMar>
            <w:vAlign w:val="center"/>
          </w:tcPr>
          <w:p>
            <w:pPr>
              <w:ind w:left="105" w:leftChars="50" w:right="105" w:rightChars="50"/>
              <w:jc w:val="center"/>
              <w:rPr>
                <w:rFonts w:hint="eastAsia" w:ascii="仿宋_GB2312" w:eastAsia="仿宋_GB2312"/>
                <w:b/>
                <w:bCs/>
                <w:szCs w:val="21"/>
                <w:highlight w:val="none"/>
                <w:lang w:eastAsia="zh-CN"/>
              </w:rPr>
            </w:pPr>
            <w:r>
              <w:rPr>
                <w:rFonts w:hint="eastAsia" w:ascii="仿宋_GB2312" w:eastAsia="仿宋_GB2312"/>
                <w:b/>
                <w:bCs/>
                <w:szCs w:val="21"/>
                <w:highlight w:val="none"/>
                <w:lang w:eastAsia="zh-CN"/>
              </w:rPr>
              <w:t>指标说明及评价标准</w:t>
            </w:r>
          </w:p>
        </w:tc>
        <w:tc>
          <w:tcPr>
            <w:tcW w:w="861" w:type="dxa"/>
            <w:noWrap w:val="0"/>
            <w:tcMar>
              <w:top w:w="10" w:type="dxa"/>
              <w:left w:w="10" w:type="dxa"/>
              <w:bottom w:w="0" w:type="dxa"/>
              <w:right w:w="10" w:type="dxa"/>
            </w:tcMar>
            <w:vAlign w:val="center"/>
          </w:tcPr>
          <w:p>
            <w:pPr>
              <w:ind w:left="105" w:leftChars="50" w:right="105" w:rightChars="50"/>
              <w:jc w:val="center"/>
              <w:rPr>
                <w:rFonts w:hint="eastAsia" w:ascii="仿宋_GB2312" w:eastAsia="仿宋_GB2312"/>
                <w:b/>
                <w:bCs/>
                <w:szCs w:val="21"/>
                <w:highlight w:val="none"/>
                <w:lang w:eastAsia="zh-CN"/>
              </w:rPr>
            </w:pPr>
            <w:r>
              <w:rPr>
                <w:rFonts w:hint="eastAsia" w:ascii="仿宋_GB2312" w:eastAsia="仿宋_GB2312"/>
                <w:b/>
                <w:bCs/>
                <w:szCs w:val="21"/>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85" w:type="dxa"/>
            <w:vMerge w:val="restart"/>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rPr>
              <w:t>投   入</w:t>
            </w:r>
            <w:r>
              <w:rPr>
                <w:rFonts w:hint="eastAsia" w:ascii="仿宋_GB2312" w:eastAsia="仿宋_GB2312"/>
                <w:szCs w:val="21"/>
                <w:highlight w:val="none"/>
                <w:lang w:val="en-US" w:eastAsia="zh-CN"/>
              </w:rPr>
              <w:t xml:space="preserve">     </w:t>
            </w: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 xml:space="preserve">    14分</w:t>
            </w: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目标</w:t>
            </w:r>
          </w:p>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rPr>
              <w:t>设定</w:t>
            </w:r>
            <w:r>
              <w:rPr>
                <w:rFonts w:hint="eastAsia" w:ascii="仿宋_GB2312" w:eastAsia="仿宋_GB2312"/>
                <w:szCs w:val="21"/>
                <w:highlight w:val="none"/>
                <w:lang w:val="en-US" w:eastAsia="zh-CN"/>
              </w:rPr>
              <w:t xml:space="preserve"> </w:t>
            </w:r>
          </w:p>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     6分 </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绩效</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目标</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合理性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部门所设立的整体绩效目标依据是否充分，是否符合客观实际，用以反映和考核部门整体绩效目标与部门履职、年度工作任务的相符性情况。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hAnsi="宋体" w:eastAsia="仿宋_GB2312" w:cs="宋体"/>
                <w:szCs w:val="21"/>
                <w:highlight w:val="none"/>
              </w:rPr>
              <w:t>①</w:t>
            </w:r>
            <w:r>
              <w:rPr>
                <w:rFonts w:hint="eastAsia" w:ascii="仿宋_GB2312" w:eastAsia="仿宋_GB2312"/>
                <w:szCs w:val="21"/>
                <w:highlight w:val="none"/>
              </w:rPr>
              <w:t>是否符合国家法律法规、国民经济和社会发展总体规划</w:t>
            </w:r>
            <w:r>
              <w:rPr>
                <w:rFonts w:hint="eastAsia" w:ascii="仿宋_GB2312" w:eastAsia="仿宋_GB2312"/>
                <w:szCs w:val="21"/>
                <w:highlight w:val="none"/>
                <w:lang w:eastAsia="zh-CN"/>
              </w:rPr>
              <w:t>；</w:t>
            </w:r>
            <w:r>
              <w:rPr>
                <w:rFonts w:hint="eastAsia" w:ascii="仿宋_GB2312" w:hAnsi="宋体" w:eastAsia="仿宋_GB2312" w:cs="宋体"/>
                <w:szCs w:val="21"/>
                <w:highlight w:val="none"/>
              </w:rPr>
              <w:t>②</w:t>
            </w:r>
            <w:r>
              <w:rPr>
                <w:rFonts w:hint="eastAsia" w:ascii="仿宋_GB2312" w:eastAsia="仿宋_GB2312"/>
                <w:szCs w:val="21"/>
                <w:highlight w:val="none"/>
              </w:rPr>
              <w:t>是否符合部门“三定”方案确定的职责；</w:t>
            </w:r>
          </w:p>
          <w:p>
            <w:pPr>
              <w:spacing w:line="320" w:lineRule="exact"/>
              <w:ind w:left="105" w:leftChars="50" w:right="105" w:rightChars="50"/>
              <w:rPr>
                <w:rFonts w:hint="eastAsia" w:ascii="仿宋_GB2312" w:eastAsia="仿宋_GB2312"/>
                <w:szCs w:val="21"/>
                <w:highlight w:val="none"/>
              </w:rPr>
            </w:pPr>
            <w:r>
              <w:rPr>
                <w:rFonts w:hint="eastAsia" w:ascii="仿宋_GB2312" w:hAnsi="宋体" w:eastAsia="仿宋_GB2312" w:cs="宋体"/>
                <w:szCs w:val="21"/>
                <w:highlight w:val="none"/>
              </w:rPr>
              <w:t>③</w:t>
            </w:r>
            <w:r>
              <w:rPr>
                <w:rFonts w:hint="eastAsia" w:ascii="仿宋_GB2312" w:eastAsia="仿宋_GB2312"/>
                <w:szCs w:val="21"/>
                <w:highlight w:val="none"/>
              </w:rPr>
              <w:t>是否符合部门制定的中长期实施规划。</w:t>
            </w:r>
          </w:p>
          <w:p>
            <w:pPr>
              <w:spacing w:line="320" w:lineRule="exact"/>
              <w:ind w:left="105" w:leftChars="50" w:right="105" w:rightChars="50"/>
              <w:rPr>
                <w:rFonts w:hint="default" w:ascii="仿宋_GB2312" w:eastAsia="仿宋_GB2312"/>
                <w:szCs w:val="21"/>
                <w:highlight w:val="none"/>
                <w:lang w:val="en-US" w:eastAsia="zh-CN"/>
              </w:rPr>
            </w:pPr>
            <w:r>
              <w:rPr>
                <w:rFonts w:hint="eastAsia" w:ascii="仿宋_GB2312" w:eastAsia="仿宋_GB2312"/>
                <w:szCs w:val="21"/>
                <w:highlight w:val="none"/>
                <w:lang w:eastAsia="zh-CN"/>
              </w:rPr>
              <w:t>以上各项每发现一起不符合要求扣</w:t>
            </w:r>
            <w:r>
              <w:rPr>
                <w:rFonts w:hint="eastAsia" w:ascii="仿宋_GB2312" w:eastAsia="仿宋_GB2312"/>
                <w:szCs w:val="21"/>
                <w:highlight w:val="none"/>
                <w:lang w:val="en-US" w:eastAsia="zh-CN"/>
              </w:rPr>
              <w:t>1分，扣完为止。</w:t>
            </w:r>
          </w:p>
        </w:tc>
        <w:tc>
          <w:tcPr>
            <w:tcW w:w="861" w:type="dxa"/>
            <w:noWrap w:val="0"/>
            <w:tcMar>
              <w:top w:w="10" w:type="dxa"/>
              <w:left w:w="10" w:type="dxa"/>
              <w:bottom w:w="0" w:type="dxa"/>
              <w:right w:w="10" w:type="dxa"/>
            </w:tcMar>
            <w:vAlign w:val="center"/>
          </w:tcPr>
          <w:p>
            <w:pPr>
              <w:pStyle w:val="2"/>
              <w:jc w:val="center"/>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绩效</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指标</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明确性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部门依据整体绩效目标所设定的绩效指标是否清晰、细化、可衡量，用以反映和考核部门整体绩效目标的明细化情况。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hAnsi="宋体" w:eastAsia="仿宋_GB2312" w:cs="宋体"/>
                <w:szCs w:val="21"/>
                <w:highlight w:val="none"/>
              </w:rPr>
              <w:t>①</w:t>
            </w:r>
            <w:r>
              <w:rPr>
                <w:rFonts w:hint="eastAsia" w:ascii="仿宋_GB2312" w:eastAsia="仿宋_GB2312"/>
                <w:szCs w:val="21"/>
                <w:highlight w:val="none"/>
              </w:rPr>
              <w:t>是否将部门整体的绩效目标细化分解为具体的工作任务；</w:t>
            </w:r>
            <w:r>
              <w:rPr>
                <w:rFonts w:hint="eastAsia" w:ascii="仿宋_GB2312" w:hAnsi="宋体" w:eastAsia="仿宋_GB2312" w:cs="宋体"/>
                <w:szCs w:val="21"/>
                <w:highlight w:val="none"/>
              </w:rPr>
              <w:t>②</w:t>
            </w:r>
            <w:r>
              <w:rPr>
                <w:rFonts w:hint="eastAsia" w:ascii="仿宋_GB2312" w:eastAsia="仿宋_GB2312"/>
                <w:szCs w:val="21"/>
                <w:highlight w:val="none"/>
              </w:rPr>
              <w:t>是否通过清晰、可衡量的指标值予以体现</w:t>
            </w:r>
            <w:r>
              <w:rPr>
                <w:rFonts w:hint="eastAsia" w:ascii="仿宋_GB2312" w:eastAsia="仿宋_GB2312"/>
                <w:szCs w:val="21"/>
                <w:highlight w:val="none"/>
                <w:lang w:eastAsia="zh-CN"/>
              </w:rPr>
              <w:t>；</w:t>
            </w:r>
            <w:r>
              <w:rPr>
                <w:rFonts w:hint="eastAsia" w:ascii="仿宋_GB2312" w:hAnsi="宋体" w:eastAsia="仿宋_GB2312" w:cs="宋体"/>
                <w:szCs w:val="21"/>
                <w:highlight w:val="none"/>
              </w:rPr>
              <w:t>③</w:t>
            </w:r>
            <w:r>
              <w:rPr>
                <w:rFonts w:hint="eastAsia" w:ascii="仿宋_GB2312" w:eastAsia="仿宋_GB2312"/>
                <w:szCs w:val="21"/>
                <w:highlight w:val="none"/>
              </w:rPr>
              <w:t>是否与部门年度的任务数或计划数相对应；</w:t>
            </w:r>
            <w:r>
              <w:rPr>
                <w:rFonts w:hint="eastAsia" w:ascii="仿宋_GB2312" w:hAnsi="宋体" w:eastAsia="仿宋_GB2312" w:cs="宋体"/>
                <w:szCs w:val="21"/>
                <w:highlight w:val="none"/>
              </w:rPr>
              <w:t>④</w:t>
            </w:r>
            <w:r>
              <w:rPr>
                <w:rFonts w:hint="eastAsia" w:ascii="仿宋_GB2312" w:eastAsia="仿宋_GB2312"/>
                <w:szCs w:val="21"/>
                <w:highlight w:val="none"/>
              </w:rPr>
              <w:t>是否与本年度部门预算资金相匹配。</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eastAsia="zh-CN"/>
              </w:rPr>
              <w:t>以上各项每发现一起不符合要求的，扣</w:t>
            </w:r>
            <w:r>
              <w:rPr>
                <w:rFonts w:hint="eastAsia" w:ascii="仿宋_GB2312" w:eastAsia="仿宋_GB2312"/>
                <w:szCs w:val="21"/>
                <w:highlight w:val="none"/>
                <w:lang w:val="en-US" w:eastAsia="zh-CN"/>
              </w:rPr>
              <w:t>1分，扣完为止。</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rPr>
              <w:t>配置</w:t>
            </w:r>
            <w:r>
              <w:rPr>
                <w:rFonts w:hint="eastAsia" w:ascii="仿宋_GB2312" w:eastAsia="仿宋_GB2312"/>
                <w:szCs w:val="21"/>
                <w:highlight w:val="none"/>
                <w:lang w:val="en-US" w:eastAsia="zh-CN"/>
              </w:rPr>
              <w:t xml:space="preserve">      </w:t>
            </w: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 xml:space="preserve">     8分   </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在职</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人员</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控制率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部门本年度实际在职人员数与编制数的比率，用以反映和考核部门对人员成本的控制程度。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在职人员控制率=（在职人员数/编制数）×100%。在职人员数：部门实际在职人数，以财政部确定的部门决算编制口径为准。编制数：机构编制部门核定批复的部门的人员编制数。</w:t>
            </w:r>
          </w:p>
          <w:p>
            <w:pPr>
              <w:spacing w:line="320" w:lineRule="exact"/>
              <w:ind w:left="105" w:leftChars="50" w:right="105" w:rightChars="50"/>
              <w:rPr>
                <w:rFonts w:hint="default" w:ascii="仿宋_GB2312" w:eastAsia="仿宋_GB2312"/>
                <w:szCs w:val="21"/>
                <w:highlight w:val="none"/>
                <w:lang w:val="en-US" w:eastAsia="zh-CN"/>
              </w:rPr>
            </w:pPr>
            <w:r>
              <w:rPr>
                <w:rFonts w:hint="eastAsia" w:ascii="仿宋_GB2312" w:eastAsia="仿宋_GB2312"/>
                <w:szCs w:val="21"/>
                <w:highlight w:val="none"/>
                <w:lang w:eastAsia="zh-CN"/>
              </w:rPr>
              <w:t>该项得分，控制率</w:t>
            </w:r>
            <w:r>
              <w:rPr>
                <w:rFonts w:hint="default" w:ascii="Arial" w:hAnsi="Arial" w:eastAsia="仿宋_GB2312" w:cs="Arial"/>
                <w:szCs w:val="21"/>
                <w:highlight w:val="none"/>
                <w:lang w:eastAsia="zh-CN"/>
              </w:rPr>
              <w:t>≤</w:t>
            </w:r>
            <w:r>
              <w:rPr>
                <w:rFonts w:hint="eastAsia" w:ascii="仿宋_GB2312" w:eastAsia="仿宋_GB2312"/>
                <w:szCs w:val="21"/>
                <w:highlight w:val="none"/>
                <w:lang w:val="en-US" w:eastAsia="zh-CN"/>
              </w:rPr>
              <w:t>1，计2分，控制率</w:t>
            </w:r>
            <w:r>
              <w:rPr>
                <w:rFonts w:hint="eastAsia" w:ascii="仿宋" w:hAnsi="仿宋" w:eastAsia="仿宋" w:cs="仿宋"/>
                <w:szCs w:val="21"/>
                <w:highlight w:val="none"/>
                <w:lang w:val="en-US" w:eastAsia="zh-CN"/>
              </w:rPr>
              <w:t>&gt;</w:t>
            </w:r>
            <w:r>
              <w:rPr>
                <w:rFonts w:hint="eastAsia" w:ascii="仿宋_GB2312" w:eastAsia="仿宋_GB2312"/>
                <w:szCs w:val="21"/>
                <w:highlight w:val="none"/>
                <w:lang w:val="en-US" w:eastAsia="zh-CN"/>
              </w:rPr>
              <w:t>1，计0分。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585" w:type="dxa"/>
            <w:vMerge w:val="continue"/>
            <w:noWrap w:val="0"/>
            <w:vAlign w:val="center"/>
          </w:tcPr>
          <w:p>
            <w:pPr>
              <w:spacing w:line="320" w:lineRule="exact"/>
              <w:rPr>
                <w:rFonts w:hint="eastAsia" w:ascii="仿宋_GB2312" w:eastAsia="仿宋_GB2312"/>
                <w:szCs w:val="21"/>
                <w:highlight w:val="none"/>
                <w:lang w:eastAsia="zh-CN"/>
              </w:rPr>
            </w:pPr>
            <w:r>
              <w:rPr>
                <w:rFonts w:hint="eastAsia" w:ascii="仿宋_GB2312" w:eastAsia="仿宋_GB2312"/>
                <w:szCs w:val="21"/>
                <w:highlight w:val="none"/>
                <w:lang w:eastAsia="zh-CN"/>
              </w:rPr>
              <w:t>2</w:t>
            </w: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“三公经费”</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变动率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部门本年度“三公经费”预算数与上年度“三公经费”预算数的变动比率，用以反映和考核部门对控制重点行政成本的努力程度。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“三公经费”变动率=[（本年度“三公经费”总额-上年度“三公经费”总额）/上年度“三公经费”总额]×100%。“三公经费”：年度预算安排的因公出国（境）费、公务车辆购置及运行费和公务招待费。</w:t>
            </w:r>
          </w:p>
          <w:p>
            <w:pPr>
              <w:spacing w:line="320" w:lineRule="exact"/>
              <w:ind w:left="105" w:leftChars="50" w:right="105" w:rightChars="50"/>
              <w:rPr>
                <w:rFonts w:hint="default" w:ascii="仿宋_GB2312" w:eastAsia="仿宋_GB2312"/>
                <w:szCs w:val="21"/>
                <w:highlight w:val="none"/>
                <w:lang w:val="en-US"/>
              </w:rPr>
            </w:pPr>
            <w:r>
              <w:rPr>
                <w:rFonts w:hint="eastAsia" w:ascii="仿宋_GB2312" w:eastAsia="仿宋_GB2312"/>
                <w:szCs w:val="21"/>
                <w:highlight w:val="none"/>
                <w:lang w:eastAsia="zh-CN"/>
              </w:rPr>
              <w:t>该项得分，变动率</w:t>
            </w:r>
            <w:r>
              <w:rPr>
                <w:rFonts w:hint="default" w:ascii="Arial" w:hAnsi="Arial" w:eastAsia="仿宋_GB2312" w:cs="Arial"/>
                <w:szCs w:val="21"/>
                <w:highlight w:val="none"/>
                <w:lang w:eastAsia="zh-CN"/>
              </w:rPr>
              <w:t>≤</w:t>
            </w:r>
            <w:r>
              <w:rPr>
                <w:rFonts w:hint="eastAsia" w:ascii="仿宋_GB2312" w:eastAsia="仿宋_GB2312"/>
                <w:szCs w:val="21"/>
                <w:highlight w:val="none"/>
                <w:lang w:val="en-US" w:eastAsia="zh-CN"/>
              </w:rPr>
              <w:t>1，计2分，变动率</w:t>
            </w:r>
            <w:r>
              <w:rPr>
                <w:rFonts w:hint="eastAsia" w:ascii="仿宋" w:hAnsi="仿宋" w:eastAsia="仿宋" w:cs="仿宋"/>
                <w:szCs w:val="21"/>
                <w:highlight w:val="none"/>
                <w:lang w:val="en-US" w:eastAsia="zh-CN"/>
              </w:rPr>
              <w:t>&gt;</w:t>
            </w:r>
            <w:r>
              <w:rPr>
                <w:rFonts w:hint="eastAsia" w:ascii="仿宋_GB2312" w:eastAsia="仿宋_GB2312"/>
                <w:szCs w:val="21"/>
                <w:highlight w:val="none"/>
                <w:lang w:val="en-US" w:eastAsia="zh-CN"/>
              </w:rPr>
              <w:t>1，计0分。年度内“三公经费”完成数超过预算数，则该项计0分。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重点</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支出</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安排率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部门本年度部门</w:t>
            </w:r>
            <w:r>
              <w:rPr>
                <w:rFonts w:hint="eastAsia" w:ascii="仿宋_GB2312" w:eastAsia="仿宋_GB2312"/>
                <w:szCs w:val="21"/>
                <w:highlight w:val="none"/>
                <w:lang w:eastAsia="zh-CN"/>
              </w:rPr>
              <w:t>重点实际</w:t>
            </w:r>
            <w:r>
              <w:rPr>
                <w:rFonts w:hint="eastAsia" w:ascii="仿宋_GB2312" w:eastAsia="仿宋_GB2312"/>
                <w:szCs w:val="21"/>
                <w:highlight w:val="none"/>
              </w:rPr>
              <w:t>支出</w:t>
            </w:r>
            <w:r>
              <w:rPr>
                <w:rFonts w:hint="eastAsia" w:ascii="仿宋_GB2312" w:eastAsia="仿宋_GB2312"/>
                <w:szCs w:val="21"/>
                <w:highlight w:val="none"/>
                <w:lang w:eastAsia="zh-CN"/>
              </w:rPr>
              <w:t>与</w:t>
            </w:r>
            <w:r>
              <w:rPr>
                <w:rFonts w:hint="eastAsia" w:ascii="仿宋_GB2312" w:eastAsia="仿宋_GB2312"/>
                <w:szCs w:val="21"/>
                <w:highlight w:val="none"/>
              </w:rPr>
              <w:t>预算安排的重点预算支出的比率，用以反映和考核部门对履行主要职责或完成重点任务的保障程度。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default" w:ascii="仿宋_GB2312" w:eastAsia="仿宋_GB2312"/>
                <w:szCs w:val="21"/>
                <w:highlight w:val="none"/>
                <w:lang w:val="en-US"/>
              </w:rPr>
            </w:pPr>
            <w:r>
              <w:rPr>
                <w:rFonts w:hint="eastAsia" w:ascii="仿宋_GB2312" w:eastAsia="仿宋_GB2312"/>
                <w:szCs w:val="21"/>
                <w:highlight w:val="none"/>
              </w:rPr>
              <w:t>重点支出安排率=（重点</w:t>
            </w:r>
            <w:r>
              <w:rPr>
                <w:rFonts w:hint="eastAsia" w:ascii="仿宋_GB2312" w:eastAsia="仿宋_GB2312"/>
                <w:szCs w:val="21"/>
                <w:highlight w:val="none"/>
                <w:lang w:eastAsia="zh-CN"/>
              </w:rPr>
              <w:t>实际</w:t>
            </w:r>
            <w:r>
              <w:rPr>
                <w:rFonts w:hint="eastAsia" w:ascii="仿宋_GB2312" w:eastAsia="仿宋_GB2312"/>
                <w:szCs w:val="21"/>
                <w:highlight w:val="none"/>
              </w:rPr>
              <w:t>支出/</w:t>
            </w:r>
            <w:r>
              <w:rPr>
                <w:rFonts w:hint="eastAsia" w:ascii="仿宋_GB2312" w:eastAsia="仿宋_GB2312"/>
                <w:szCs w:val="21"/>
                <w:highlight w:val="none"/>
                <w:lang w:eastAsia="zh-CN"/>
              </w:rPr>
              <w:t>重点</w:t>
            </w:r>
            <w:r>
              <w:rPr>
                <w:rFonts w:hint="eastAsia" w:ascii="仿宋_GB2312" w:eastAsia="仿宋_GB2312"/>
                <w:szCs w:val="21"/>
                <w:highlight w:val="none"/>
              </w:rPr>
              <w:t>预算支出）×100%。重点预算支出：部门年度预算安排的，与本部门履职和发展密切相关、具有明显社会和经济影响、党委政府关心或社会比较关注的预算支出支出总额。</w:t>
            </w:r>
            <w:r>
              <w:rPr>
                <w:rFonts w:hint="eastAsia" w:ascii="仿宋_GB2312" w:eastAsia="仿宋_GB2312"/>
                <w:szCs w:val="21"/>
                <w:highlight w:val="none"/>
                <w:lang w:eastAsia="zh-CN"/>
              </w:rPr>
              <w:t>该指标参考部门年度项目支出及其预算。该项得分</w:t>
            </w:r>
            <w:r>
              <w:rPr>
                <w:rFonts w:hint="eastAsia" w:ascii="仿宋_GB2312" w:eastAsia="仿宋_GB2312"/>
                <w:szCs w:val="21"/>
                <w:highlight w:val="none"/>
                <w:lang w:val="en-US" w:eastAsia="zh-CN"/>
              </w:rPr>
              <w:t>=安排率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2分。安排率</w:t>
            </w:r>
            <w:r>
              <w:rPr>
                <w:rFonts w:hint="eastAsia" w:ascii="仿宋" w:hAnsi="仿宋" w:eastAsia="仿宋" w:cs="仿宋"/>
                <w:kern w:val="0"/>
                <w:sz w:val="20"/>
                <w:szCs w:val="20"/>
                <w:highlight w:val="none"/>
                <w:lang w:val="en-US" w:eastAsia="zh-CN"/>
              </w:rPr>
              <w:t>&gt;</w:t>
            </w:r>
            <w:r>
              <w:rPr>
                <w:rFonts w:hint="eastAsia" w:ascii="仿宋_GB2312" w:hAnsi="宋体" w:eastAsia="仿宋_GB2312" w:cs="宋体"/>
                <w:kern w:val="0"/>
                <w:sz w:val="20"/>
                <w:szCs w:val="20"/>
                <w:highlight w:val="none"/>
                <w:lang w:val="en-US" w:eastAsia="zh-CN"/>
              </w:rPr>
              <w:t>1是，计0分。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hAnsi="宋体" w:eastAsia="仿宋_GB2312" w:cs="宋体"/>
                <w:kern w:val="0"/>
                <w:sz w:val="20"/>
                <w:szCs w:val="20"/>
                <w:highlight w:val="none"/>
              </w:rPr>
              <w:t>非税 收入 完成率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eastAsia="zh-CN"/>
              </w:rPr>
            </w:pPr>
            <w:r>
              <w:rPr>
                <w:rFonts w:hint="eastAsia" w:ascii="仿宋_GB2312" w:eastAsia="仿宋_GB2312"/>
                <w:szCs w:val="21"/>
                <w:highlight w:val="none"/>
                <w:lang w:eastAsia="zh-CN"/>
              </w:rPr>
              <w:t>反映部门本年度非税收入完成情况。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非税收入完成率=（非税实际收入完成数/非税收入预算数）×100%，有减免因素的，以非税局确定的为准。</w:t>
            </w:r>
          </w:p>
          <w:p>
            <w:pPr>
              <w:spacing w:line="320" w:lineRule="exact"/>
              <w:ind w:left="105" w:leftChars="50" w:right="105" w:rightChars="50"/>
              <w:rPr>
                <w:rFonts w:hint="eastAsia" w:ascii="仿宋_GB2312" w:hAnsi="宋体" w:eastAsia="仿宋_GB2312" w:cs="宋体"/>
                <w:kern w:val="0"/>
                <w:sz w:val="20"/>
                <w:szCs w:val="20"/>
                <w:highlight w:val="none"/>
                <w:lang w:eastAsia="zh-CN"/>
              </w:rPr>
            </w:pP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w:t>
            </w:r>
            <w:r>
              <w:rPr>
                <w:rFonts w:hint="eastAsia" w:ascii="仿宋_GB2312" w:hAnsi="宋体" w:eastAsia="仿宋_GB2312" w:cs="宋体"/>
                <w:kern w:val="0"/>
                <w:sz w:val="20"/>
                <w:szCs w:val="20"/>
                <w:highlight w:val="none"/>
              </w:rPr>
              <w:t>完成率×</w:t>
            </w:r>
            <w:r>
              <w:rPr>
                <w:rFonts w:hint="eastAsia" w:ascii="仿宋_GB2312" w:hAnsi="宋体" w:eastAsia="仿宋_GB2312" w:cs="宋体"/>
                <w:kern w:val="0"/>
                <w:sz w:val="20"/>
                <w:szCs w:val="20"/>
                <w:highlight w:val="none"/>
                <w:lang w:val="en-US" w:eastAsia="zh-CN"/>
              </w:rPr>
              <w:t>2分。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9" w:hRule="atLeast"/>
          <w:jc w:val="center"/>
        </w:trPr>
        <w:tc>
          <w:tcPr>
            <w:tcW w:w="585" w:type="dxa"/>
            <w:vMerge w:val="restart"/>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过   程</w:t>
            </w:r>
          </w:p>
          <w:p>
            <w:pPr>
              <w:spacing w:line="320" w:lineRule="exact"/>
              <w:jc w:val="center"/>
              <w:rPr>
                <w:rFonts w:hint="eastAsia" w:ascii="仿宋_GB2312" w:eastAsia="仿宋_GB2312"/>
                <w:szCs w:val="21"/>
                <w:highlight w:val="none"/>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48分</w:t>
            </w: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rPr>
              <w:t>执行</w:t>
            </w:r>
            <w:r>
              <w:rPr>
                <w:rFonts w:hint="eastAsia" w:ascii="仿宋_GB2312" w:eastAsia="仿宋_GB2312"/>
                <w:szCs w:val="21"/>
                <w:highlight w:val="none"/>
                <w:lang w:val="en-US" w:eastAsia="zh-CN"/>
              </w:rPr>
              <w:t xml:space="preserve">    </w:t>
            </w: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 xml:space="preserve">     12分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执行率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部门本年度预算完成数与预算数的比率，用以反映和考核部门预算完成程度。</w:t>
            </w:r>
          </w:p>
        </w:tc>
        <w:tc>
          <w:tcPr>
            <w:tcW w:w="3582" w:type="dxa"/>
            <w:noWrap w:val="0"/>
            <w:tcMar>
              <w:top w:w="10" w:type="dxa"/>
              <w:left w:w="10" w:type="dxa"/>
              <w:bottom w:w="0" w:type="dxa"/>
              <w:right w:w="10" w:type="dxa"/>
            </w:tcMar>
            <w:vAlign w:val="center"/>
          </w:tcPr>
          <w:p>
            <w:pPr>
              <w:widowControl/>
              <w:jc w:val="left"/>
              <w:rPr>
                <w:rFonts w:hint="eastAsia" w:ascii="仿宋_GB2312" w:eastAsia="仿宋_GB2312"/>
                <w:szCs w:val="21"/>
                <w:highlight w:val="none"/>
              </w:rPr>
            </w:pPr>
            <w:r>
              <w:rPr>
                <w:rFonts w:hint="eastAsia" w:ascii="仿宋_GB2312" w:eastAsia="仿宋_GB2312"/>
                <w:szCs w:val="21"/>
                <w:highlight w:val="none"/>
              </w:rPr>
              <w:t>预算执行率=（预算执行数/预算数）×100%。预算执行数：部门本年度实际完成的预算数。预算数：财政部门批复的本年度部门预算数。</w:t>
            </w:r>
          </w:p>
          <w:p>
            <w:pPr>
              <w:widowControl/>
              <w:jc w:val="left"/>
              <w:rPr>
                <w:rFonts w:hint="eastAsia" w:ascii="仿宋_GB2312" w:eastAsia="仿宋_GB2312"/>
                <w:szCs w:val="21"/>
                <w:highlight w:val="none"/>
                <w:lang w:eastAsia="zh-CN"/>
              </w:rPr>
            </w:pPr>
            <w:r>
              <w:rPr>
                <w:rFonts w:hint="eastAsia" w:ascii="仿宋_GB2312" w:eastAsia="仿宋_GB2312"/>
                <w:szCs w:val="21"/>
                <w:highlight w:val="none"/>
                <w:lang w:eastAsia="zh-CN"/>
              </w:rPr>
              <w:t>该项得分，执行率</w:t>
            </w:r>
            <w:r>
              <w:rPr>
                <w:rFonts w:hint="default" w:ascii="Arial" w:hAnsi="Arial" w:eastAsia="仿宋_GB2312" w:cs="Arial"/>
                <w:szCs w:val="21"/>
                <w:highlight w:val="none"/>
                <w:lang w:eastAsia="zh-CN"/>
              </w:rPr>
              <w:t>≤</w:t>
            </w:r>
            <w:r>
              <w:rPr>
                <w:rFonts w:hint="eastAsia" w:ascii="仿宋_GB2312" w:hAnsi="宋体" w:eastAsia="仿宋_GB2312" w:cs="宋体"/>
                <w:kern w:val="0"/>
                <w:sz w:val="20"/>
                <w:szCs w:val="20"/>
                <w:highlight w:val="none"/>
              </w:rPr>
              <w:t>1，计2分，</w:t>
            </w:r>
            <w:r>
              <w:rPr>
                <w:rFonts w:hint="eastAsia" w:ascii="仿宋_GB2312" w:hAnsi="宋体" w:eastAsia="仿宋_GB2312" w:cs="宋体"/>
                <w:kern w:val="0"/>
                <w:sz w:val="20"/>
                <w:szCs w:val="20"/>
                <w:highlight w:val="none"/>
                <w:lang w:eastAsia="zh-CN"/>
              </w:rPr>
              <w:t>执行率</w:t>
            </w:r>
            <w:r>
              <w:rPr>
                <w:rFonts w:hint="eastAsia" w:ascii="仿宋_GB2312" w:hAnsi="宋体" w:eastAsia="仿宋_GB2312" w:cs="宋体"/>
                <w:kern w:val="0"/>
                <w:sz w:val="20"/>
                <w:szCs w:val="20"/>
                <w:highlight w:val="none"/>
              </w:rPr>
              <w:t>&gt;1</w:t>
            </w:r>
            <w:r>
              <w:rPr>
                <w:rFonts w:hint="eastAsia" w:ascii="仿宋_GB2312" w:hAnsi="宋体" w:eastAsia="仿宋_GB2312" w:cs="宋体"/>
                <w:kern w:val="0"/>
                <w:sz w:val="20"/>
                <w:szCs w:val="20"/>
                <w:highlight w:val="none"/>
                <w:lang w:eastAsia="zh-CN"/>
              </w:rPr>
              <w:t>时，每超过</w:t>
            </w:r>
            <w:r>
              <w:rPr>
                <w:rFonts w:hint="eastAsia" w:ascii="仿宋_GB2312" w:hAnsi="宋体" w:eastAsia="仿宋_GB2312" w:cs="宋体"/>
                <w:kern w:val="0"/>
                <w:sz w:val="20"/>
                <w:szCs w:val="20"/>
                <w:highlight w:val="none"/>
                <w:lang w:val="en-US" w:eastAsia="zh-CN"/>
              </w:rPr>
              <w:t>5个百分点，扣0.5分，扣完为止。</w:t>
            </w:r>
            <w:r>
              <w:rPr>
                <w:rFonts w:hint="eastAsia" w:ascii="仿宋_GB2312" w:hAnsi="宋体" w:eastAsia="仿宋_GB2312" w:cs="宋体"/>
                <w:kern w:val="0"/>
                <w:sz w:val="20"/>
                <w:szCs w:val="20"/>
                <w:highlight w:val="none"/>
                <w:lang w:eastAsia="zh-CN"/>
              </w:rPr>
              <w:t>（</w:t>
            </w:r>
            <w:r>
              <w:rPr>
                <w:rFonts w:hint="eastAsia" w:ascii="仿宋_GB2312" w:eastAsia="仿宋_GB2312"/>
                <w:szCs w:val="21"/>
                <w:highlight w:val="none"/>
              </w:rPr>
              <w:t>因落实国家政策、发生不可抗力、上级部门或本级党委政府临时交办而产生的除外</w:t>
            </w:r>
            <w:r>
              <w:rPr>
                <w:rFonts w:hint="eastAsia" w:ascii="仿宋_GB2312" w:eastAsia="仿宋_GB2312"/>
                <w:szCs w:val="21"/>
                <w:highlight w:val="none"/>
                <w:lang w:eastAsia="zh-CN"/>
              </w:rPr>
              <w:t>）</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3"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调整率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部门本年度预算调整数与预算数的比率，用以反映和考核部门预算的调整程度。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rPr>
              <w:t>预算调整率=（预算调整数/预算数）×100%。预算调整数：部门在本年度内涉及预算的追加、追减或结构调整的资金总和（因落实国家政策、发生不可抗力、上级部门或本级党委政府临时交办而产生的调整除外）。</w:t>
            </w: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=（1-</w:t>
            </w:r>
            <w:r>
              <w:rPr>
                <w:rFonts w:hint="eastAsia" w:ascii="仿宋_GB2312" w:eastAsia="仿宋_GB2312"/>
                <w:szCs w:val="21"/>
                <w:highlight w:val="none"/>
              </w:rPr>
              <w:t>调整率</w:t>
            </w:r>
            <w:r>
              <w:rPr>
                <w:rFonts w:hint="eastAsia" w:ascii="仿宋_GB2312" w:eastAsia="仿宋_GB2312"/>
                <w:szCs w:val="21"/>
                <w:highlight w:val="none"/>
                <w:lang w:val="en-US" w:eastAsia="zh-CN"/>
              </w:rPr>
              <w:t>）</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2分。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85" w:type="dxa"/>
            <w:vMerge w:val="continue"/>
            <w:noWrap/>
            <w:tcMar>
              <w:top w:w="10" w:type="dxa"/>
              <w:left w:w="10" w:type="dxa"/>
              <w:bottom w:w="0" w:type="dxa"/>
              <w:right w:w="10" w:type="dxa"/>
            </w:tcMar>
            <w:textDirection w:val="tbRlV"/>
            <w:vAlign w:val="center"/>
          </w:tcPr>
          <w:p>
            <w:pPr>
              <w:spacing w:line="320" w:lineRule="exact"/>
              <w:jc w:val="center"/>
              <w:rPr>
                <w:rFonts w:hint="eastAsia" w:ascii="仿宋_GB2312" w:eastAsia="仿宋_GB2312"/>
                <w:szCs w:val="21"/>
                <w:highlight w:val="none"/>
              </w:rPr>
            </w:pPr>
          </w:p>
        </w:tc>
        <w:tc>
          <w:tcPr>
            <w:tcW w:w="598" w:type="dxa"/>
            <w:vMerge w:val="continue"/>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结转</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结余率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部门本年度结转结余总额与支出预算数的比率，用以反映和考核部门对本年度结转结余资金的实际控制程度。</w:t>
            </w:r>
          </w:p>
        </w:tc>
        <w:tc>
          <w:tcPr>
            <w:tcW w:w="3582" w:type="dxa"/>
            <w:noWrap w:val="0"/>
            <w:tcMar>
              <w:top w:w="10" w:type="dxa"/>
              <w:left w:w="10" w:type="dxa"/>
              <w:bottom w:w="0" w:type="dxa"/>
              <w:right w:w="10" w:type="dxa"/>
            </w:tcMar>
            <w:vAlign w:val="center"/>
          </w:tcPr>
          <w:p>
            <w:pPr>
              <w:spacing w:line="240" w:lineRule="auto"/>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rPr>
              <w:t>结转结余率=结转结余总额/支出预算数×100%。结转结余总额：部门本年度的结转资金与结余资金之和（以决算数为准）。</w:t>
            </w:r>
            <w:r>
              <w:rPr>
                <w:rFonts w:hint="eastAsia" w:ascii="仿宋_GB2312" w:hAnsi="宋体" w:eastAsia="仿宋_GB2312" w:cs="宋体"/>
                <w:kern w:val="0"/>
                <w:sz w:val="20"/>
                <w:szCs w:val="20"/>
                <w:highlight w:val="none"/>
              </w:rPr>
              <w:t>结余</w:t>
            </w:r>
            <w:r>
              <w:rPr>
                <w:rFonts w:hint="eastAsia" w:ascii="仿宋_GB2312" w:hAnsi="宋体" w:eastAsia="仿宋_GB2312" w:cs="宋体"/>
                <w:kern w:val="0"/>
                <w:sz w:val="20"/>
                <w:szCs w:val="20"/>
                <w:highlight w:val="none"/>
                <w:lang w:eastAsia="zh-CN"/>
              </w:rPr>
              <w:t>率</w:t>
            </w:r>
            <w:r>
              <w:rPr>
                <w:rFonts w:hint="default" w:ascii="Arial" w:hAnsi="Arial" w:eastAsia="仿宋_GB2312" w:cs="Arial"/>
                <w:kern w:val="0"/>
                <w:sz w:val="20"/>
                <w:szCs w:val="20"/>
                <w:highlight w:val="none"/>
              </w:rPr>
              <w:t>≤</w:t>
            </w:r>
            <w:r>
              <w:rPr>
                <w:rFonts w:hint="eastAsia" w:ascii="仿宋_GB2312" w:hAnsi="宋体" w:eastAsia="仿宋_GB2312" w:cs="宋体"/>
                <w:kern w:val="0"/>
                <w:sz w:val="20"/>
                <w:szCs w:val="20"/>
                <w:highlight w:val="none"/>
                <w:lang w:val="en-US" w:eastAsia="zh-CN"/>
              </w:rPr>
              <w:t>10</w:t>
            </w:r>
            <w:r>
              <w:rPr>
                <w:rFonts w:hint="eastAsia" w:ascii="仿宋_GB2312" w:hAnsi="宋体" w:eastAsia="仿宋_GB2312" w:cs="宋体"/>
                <w:kern w:val="0"/>
                <w:sz w:val="20"/>
                <w:szCs w:val="20"/>
                <w:highlight w:val="none"/>
              </w:rPr>
              <w:t>%的，</w:t>
            </w:r>
            <w:r>
              <w:rPr>
                <w:rFonts w:hint="eastAsia" w:ascii="仿宋_GB2312" w:hAnsi="宋体" w:eastAsia="仿宋_GB2312" w:cs="宋体"/>
                <w:kern w:val="0"/>
                <w:sz w:val="20"/>
                <w:szCs w:val="20"/>
                <w:highlight w:val="none"/>
                <w:lang w:eastAsia="zh-CN"/>
              </w:rPr>
              <w:t>计</w:t>
            </w:r>
            <w:r>
              <w:rPr>
                <w:rFonts w:hint="eastAsia" w:ascii="仿宋_GB2312" w:hAnsi="宋体" w:eastAsia="仿宋_GB2312" w:cs="宋体"/>
                <w:kern w:val="0"/>
                <w:sz w:val="20"/>
                <w:szCs w:val="20"/>
                <w:highlight w:val="none"/>
                <w:lang w:val="en-US" w:eastAsia="zh-CN"/>
              </w:rPr>
              <w:t>2</w:t>
            </w:r>
            <w:r>
              <w:rPr>
                <w:rFonts w:hint="eastAsia" w:ascii="仿宋_GB2312" w:hAnsi="宋体" w:eastAsia="仿宋_GB2312" w:cs="宋体"/>
                <w:kern w:val="0"/>
                <w:sz w:val="20"/>
                <w:szCs w:val="20"/>
                <w:highlight w:val="none"/>
              </w:rPr>
              <w:t>分；</w:t>
            </w:r>
            <w:r>
              <w:rPr>
                <w:rFonts w:hint="eastAsia" w:ascii="仿宋_GB2312" w:eastAsia="仿宋_GB2312"/>
                <w:szCs w:val="21"/>
                <w:highlight w:val="none"/>
              </w:rPr>
              <w:t>结余</w:t>
            </w:r>
            <w:r>
              <w:rPr>
                <w:rFonts w:hint="eastAsia" w:ascii="仿宋_GB2312" w:eastAsia="仿宋_GB2312"/>
                <w:szCs w:val="21"/>
                <w:highlight w:val="none"/>
                <w:lang w:eastAsia="zh-CN"/>
              </w:rPr>
              <w:t>率&gt;</w:t>
            </w:r>
            <w:r>
              <w:rPr>
                <w:rFonts w:hint="eastAsia" w:ascii="仿宋_GB2312" w:eastAsia="仿宋_GB2312"/>
                <w:szCs w:val="21"/>
                <w:highlight w:val="none"/>
              </w:rPr>
              <w:t>10%（不含），</w:t>
            </w:r>
            <w:r>
              <w:rPr>
                <w:rFonts w:hint="eastAsia" w:ascii="仿宋_GB2312" w:eastAsia="仿宋_GB2312"/>
                <w:szCs w:val="21"/>
                <w:highlight w:val="none"/>
                <w:lang w:val="en-US" w:eastAsia="zh-CN"/>
              </w:rPr>
              <w:t>1</w:t>
            </w:r>
            <w:r>
              <w:rPr>
                <w:rFonts w:hint="eastAsia" w:ascii="仿宋_GB2312" w:eastAsia="仿宋_GB2312"/>
                <w:szCs w:val="21"/>
                <w:highlight w:val="none"/>
              </w:rPr>
              <w:t>分；本年超支</w:t>
            </w:r>
            <w:r>
              <w:rPr>
                <w:rFonts w:hint="eastAsia" w:ascii="仿宋_GB2312" w:eastAsia="仿宋_GB2312"/>
                <w:szCs w:val="21"/>
                <w:highlight w:val="none"/>
                <w:lang w:eastAsia="zh-CN"/>
              </w:rPr>
              <w:t>的，计</w:t>
            </w:r>
            <w:r>
              <w:rPr>
                <w:rFonts w:hint="eastAsia" w:ascii="仿宋_GB2312" w:eastAsia="仿宋_GB2312"/>
                <w:szCs w:val="21"/>
                <w:highlight w:val="none"/>
                <w:lang w:val="en-US" w:eastAsia="zh-CN"/>
              </w:rPr>
              <w:t>0分</w:t>
            </w:r>
            <w:r>
              <w:rPr>
                <w:rFonts w:hint="eastAsia" w:ascii="仿宋_GB2312" w:eastAsia="仿宋_GB2312"/>
                <w:szCs w:val="21"/>
                <w:highlight w:val="none"/>
                <w:lang w:eastAsia="zh-CN"/>
              </w:rPr>
              <w:t>。</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5" w:type="dxa"/>
            <w:vMerge w:val="continue"/>
            <w:tcBorders>
              <w:bottom w:val="nil"/>
            </w:tcBorders>
            <w:noWrap w:val="0"/>
            <w:vAlign w:val="center"/>
          </w:tcPr>
          <w:p>
            <w:pPr>
              <w:spacing w:line="320" w:lineRule="exact"/>
              <w:jc w:val="center"/>
              <w:rPr>
                <w:rFonts w:hint="eastAsia" w:ascii="仿宋_GB2312" w:eastAsia="仿宋_GB2312"/>
                <w:szCs w:val="21"/>
                <w:highlight w:val="none"/>
              </w:rPr>
            </w:pPr>
          </w:p>
        </w:tc>
        <w:tc>
          <w:tcPr>
            <w:tcW w:w="598" w:type="dxa"/>
            <w:vMerge w:val="continue"/>
            <w:tcBorders>
              <w:bottom w:val="nil"/>
            </w:tcBorders>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公用</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经费</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控制率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部门本年度实际支出的公用经费总额与预算安排的公用经费总额的比率，用以反映和考核部门对机构运转成本的实际控制程度。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公用经费控制率=（实际支出公用经费总额/预算安排公用经费总额）×100%。</w:t>
            </w:r>
          </w:p>
          <w:p>
            <w:pPr>
              <w:spacing w:line="320" w:lineRule="exact"/>
              <w:ind w:left="105" w:leftChars="50" w:right="105" w:rightChars="50"/>
              <w:rPr>
                <w:rFonts w:hint="default" w:ascii="仿宋_GB2312" w:eastAsia="仿宋_GB2312"/>
                <w:szCs w:val="21"/>
                <w:highlight w:val="none"/>
                <w:lang w:val="en-US" w:eastAsia="zh-CN"/>
              </w:rPr>
            </w:pPr>
            <w:r>
              <w:rPr>
                <w:rFonts w:hint="eastAsia" w:ascii="仿宋_GB2312" w:eastAsia="仿宋_GB2312"/>
                <w:szCs w:val="21"/>
                <w:highlight w:val="none"/>
                <w:lang w:eastAsia="zh-CN"/>
              </w:rPr>
              <w:t>控制率</w:t>
            </w:r>
            <w:r>
              <w:rPr>
                <w:rFonts w:hint="default" w:ascii="Arial" w:hAnsi="Arial" w:eastAsia="仿宋_GB2312" w:cs="Arial"/>
                <w:szCs w:val="21"/>
                <w:highlight w:val="none"/>
                <w:lang w:eastAsia="zh-CN"/>
              </w:rPr>
              <w:t>≤</w:t>
            </w:r>
            <w:r>
              <w:rPr>
                <w:rFonts w:hint="eastAsia" w:ascii="仿宋_GB2312" w:eastAsia="仿宋_GB2312"/>
                <w:szCs w:val="21"/>
                <w:highlight w:val="none"/>
                <w:lang w:val="en-US" w:eastAsia="zh-CN"/>
              </w:rPr>
              <w:t>1，计2分，控制率</w:t>
            </w:r>
            <w:r>
              <w:rPr>
                <w:rFonts w:hint="eastAsia" w:ascii="仿宋" w:hAnsi="仿宋" w:eastAsia="仿宋" w:cs="仿宋"/>
                <w:szCs w:val="21"/>
                <w:highlight w:val="none"/>
                <w:lang w:val="en-US" w:eastAsia="zh-CN"/>
              </w:rPr>
              <w:t>&gt;</w:t>
            </w:r>
            <w:r>
              <w:rPr>
                <w:rFonts w:hint="eastAsia" w:ascii="仿宋_GB2312" w:eastAsia="仿宋_GB2312"/>
                <w:szCs w:val="21"/>
                <w:highlight w:val="none"/>
                <w:lang w:val="en-US" w:eastAsia="zh-CN"/>
              </w:rPr>
              <w:t>1，计0分。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585" w:type="dxa"/>
            <w:vMerge w:val="restart"/>
            <w:tcBorders>
              <w:top w:val="nil"/>
            </w:tcBorders>
            <w:noWrap w:val="0"/>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过</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程</w:t>
            </w:r>
          </w:p>
          <w:p>
            <w:pPr>
              <w:spacing w:line="320" w:lineRule="exact"/>
              <w:jc w:val="center"/>
              <w:rPr>
                <w:rFonts w:hint="eastAsia" w:ascii="仿宋_GB2312" w:eastAsia="仿宋_GB2312"/>
                <w:szCs w:val="21"/>
                <w:highlight w:val="none"/>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48分</w:t>
            </w:r>
          </w:p>
        </w:tc>
        <w:tc>
          <w:tcPr>
            <w:tcW w:w="598" w:type="dxa"/>
            <w:vMerge w:val="restart"/>
            <w:tcBorders>
              <w:top w:val="nil"/>
            </w:tcBorders>
            <w:noWrap w:val="0"/>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执行</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“三公经费”控制率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部门本年度“三公经费”实际支出数与预算安排数的比率，用以反映和考核部门对“三公经费”的实际控制程度。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“三公经费”控制率=（“三公经费”实际支出数/“三公经费”预算安排数）×100%。</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eastAsia="zh-CN"/>
              </w:rPr>
              <w:t>控制率</w:t>
            </w:r>
            <w:r>
              <w:rPr>
                <w:rFonts w:hint="default" w:ascii="Arial" w:hAnsi="Arial" w:eastAsia="仿宋_GB2312" w:cs="Arial"/>
                <w:szCs w:val="21"/>
                <w:highlight w:val="none"/>
                <w:lang w:eastAsia="zh-CN"/>
              </w:rPr>
              <w:t>≤</w:t>
            </w:r>
            <w:r>
              <w:rPr>
                <w:rFonts w:hint="eastAsia" w:ascii="仿宋_GB2312" w:eastAsia="仿宋_GB2312"/>
                <w:szCs w:val="21"/>
                <w:highlight w:val="none"/>
                <w:lang w:val="en-US" w:eastAsia="zh-CN"/>
              </w:rPr>
              <w:t>1，计2分，控制率</w:t>
            </w:r>
            <w:r>
              <w:rPr>
                <w:rFonts w:hint="eastAsia" w:ascii="仿宋" w:hAnsi="仿宋" w:eastAsia="仿宋" w:cs="仿宋"/>
                <w:szCs w:val="21"/>
                <w:highlight w:val="none"/>
                <w:lang w:val="en-US" w:eastAsia="zh-CN"/>
              </w:rPr>
              <w:t>&gt;</w:t>
            </w:r>
            <w:r>
              <w:rPr>
                <w:rFonts w:hint="eastAsia" w:ascii="仿宋_GB2312" w:eastAsia="仿宋_GB2312"/>
                <w:szCs w:val="21"/>
                <w:highlight w:val="none"/>
                <w:lang w:val="en-US" w:eastAsia="zh-CN"/>
              </w:rPr>
              <w:t>1，计0分。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政府</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采购</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执行率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部门本年度实际政府采购金额与年初政府采购预算的比率，用以反映和考核部门政府采购预算执行情况。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rPr>
              <w:t>政府采购执行率=（实际政府采购金额/政府采购预算数）×100%；</w:t>
            </w:r>
          </w:p>
          <w:p>
            <w:pPr>
              <w:spacing w:line="320" w:lineRule="exact"/>
              <w:ind w:left="105" w:leftChars="50" w:right="105" w:rightChars="50"/>
              <w:rPr>
                <w:rFonts w:hint="default" w:ascii="仿宋_GB2312" w:eastAsia="仿宋_GB2312"/>
                <w:szCs w:val="21"/>
                <w:highlight w:val="none"/>
                <w:lang w:val="en-US" w:eastAsia="zh-CN"/>
              </w:rPr>
            </w:pPr>
            <w:r>
              <w:rPr>
                <w:rFonts w:hint="eastAsia" w:ascii="仿宋_GB2312" w:eastAsia="仿宋_GB2312"/>
                <w:szCs w:val="21"/>
                <w:highlight w:val="none"/>
              </w:rPr>
              <w:t xml:space="preserve">政府采购预算：采购机关根据事业发展计划和行政任务编制的、并经过规定程序批准的年度政府采购计划。 </w:t>
            </w: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=执行率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2分。执行率</w:t>
            </w:r>
            <w:r>
              <w:rPr>
                <w:rFonts w:hint="eastAsia" w:ascii="仿宋" w:hAnsi="仿宋" w:eastAsia="仿宋" w:cs="仿宋"/>
                <w:kern w:val="0"/>
                <w:sz w:val="20"/>
                <w:szCs w:val="20"/>
                <w:highlight w:val="none"/>
                <w:lang w:val="en-US" w:eastAsia="zh-CN"/>
              </w:rPr>
              <w:t>&gt;</w:t>
            </w:r>
            <w:r>
              <w:rPr>
                <w:rFonts w:hint="eastAsia" w:ascii="仿宋_GB2312" w:hAnsi="宋体" w:eastAsia="仿宋_GB2312" w:cs="宋体"/>
                <w:kern w:val="0"/>
                <w:sz w:val="20"/>
                <w:szCs w:val="20"/>
                <w:highlight w:val="none"/>
                <w:lang w:val="en-US" w:eastAsia="zh-CN"/>
              </w:rPr>
              <w:t>1时，计0分。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管理</w:t>
            </w:r>
          </w:p>
          <w:p>
            <w:pPr>
              <w:spacing w:line="320" w:lineRule="exact"/>
              <w:jc w:val="center"/>
              <w:rPr>
                <w:rFonts w:hint="eastAsia" w:ascii="仿宋_GB2312" w:eastAsia="仿宋_GB2312"/>
                <w:szCs w:val="21"/>
                <w:highlight w:val="none"/>
                <w:lang w:val="en-US" w:eastAsia="zh-CN"/>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管理</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制度</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健全性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部门为加强预算管理、规范财务行为而制定的管理制度是否健全完整，用以反映和考核部门预算管理制度对完成主要职责或促进事业发展的保障情况。</w:t>
            </w:r>
          </w:p>
        </w:tc>
        <w:tc>
          <w:tcPr>
            <w:tcW w:w="3582" w:type="dxa"/>
            <w:noWrap w:val="0"/>
            <w:tcMar>
              <w:top w:w="10" w:type="dxa"/>
              <w:left w:w="10" w:type="dxa"/>
              <w:bottom w:w="0" w:type="dxa"/>
              <w:right w:w="10" w:type="dxa"/>
            </w:tcMar>
            <w:vAlign w:val="center"/>
          </w:tcPr>
          <w:p>
            <w:pPr>
              <w:widowControl/>
              <w:rPr>
                <w:rFonts w:hint="eastAsia" w:ascii="仿宋_GB2312" w:eastAsia="仿宋_GB2312"/>
                <w:szCs w:val="21"/>
                <w:highlight w:val="none"/>
                <w:lang w:eastAsia="zh-CN"/>
              </w:rPr>
            </w:pPr>
            <w:r>
              <w:rPr>
                <w:rFonts w:hint="eastAsia" w:ascii="仿宋_GB2312" w:hAnsi="宋体" w:eastAsia="仿宋_GB2312" w:cs="宋体"/>
                <w:szCs w:val="21"/>
                <w:highlight w:val="none"/>
              </w:rPr>
              <w:t>①</w:t>
            </w:r>
            <w:r>
              <w:rPr>
                <w:rFonts w:hint="eastAsia" w:ascii="仿宋_GB2312" w:eastAsia="仿宋_GB2312"/>
                <w:szCs w:val="21"/>
                <w:highlight w:val="none"/>
              </w:rPr>
              <w:t>是否已制定或具有预算资金管理办法、内部财务管理制度、会计核算制度等管理制度；</w:t>
            </w:r>
            <w:r>
              <w:rPr>
                <w:rFonts w:hint="eastAsia" w:ascii="仿宋_GB2312" w:hAnsi="宋体" w:eastAsia="仿宋_GB2312" w:cs="宋体"/>
                <w:szCs w:val="21"/>
                <w:highlight w:val="none"/>
              </w:rPr>
              <w:t>②</w:t>
            </w:r>
            <w:r>
              <w:rPr>
                <w:rFonts w:hint="eastAsia" w:ascii="仿宋_GB2312" w:eastAsia="仿宋_GB2312"/>
                <w:szCs w:val="21"/>
                <w:highlight w:val="none"/>
              </w:rPr>
              <w:t>相关管理制度是否合法、合规、完整；③相关管理制度是否得到有效执行。④会计人员、机构</w:t>
            </w:r>
            <w:r>
              <w:rPr>
                <w:rFonts w:hint="eastAsia" w:ascii="仿宋_GB2312" w:eastAsia="仿宋_GB2312"/>
                <w:szCs w:val="21"/>
                <w:highlight w:val="none"/>
                <w:lang w:eastAsia="zh-CN"/>
              </w:rPr>
              <w:t>是否</w:t>
            </w:r>
            <w:r>
              <w:rPr>
                <w:rFonts w:hint="eastAsia" w:ascii="仿宋_GB2312" w:eastAsia="仿宋_GB2312"/>
                <w:szCs w:val="21"/>
                <w:highlight w:val="none"/>
              </w:rPr>
              <w:t>按规定设置；⑤会计基础工作</w:t>
            </w:r>
            <w:r>
              <w:rPr>
                <w:rFonts w:hint="eastAsia" w:ascii="仿宋_GB2312" w:eastAsia="仿宋_GB2312"/>
                <w:szCs w:val="21"/>
                <w:highlight w:val="none"/>
                <w:lang w:eastAsia="zh-CN"/>
              </w:rPr>
              <w:t>是否</w:t>
            </w:r>
            <w:r>
              <w:rPr>
                <w:rFonts w:hint="eastAsia" w:ascii="仿宋_GB2312" w:eastAsia="仿宋_GB2312"/>
                <w:szCs w:val="21"/>
                <w:highlight w:val="none"/>
              </w:rPr>
              <w:t>健全；⑥会计档案</w:t>
            </w:r>
            <w:r>
              <w:rPr>
                <w:rFonts w:hint="eastAsia" w:ascii="仿宋_GB2312" w:eastAsia="仿宋_GB2312"/>
                <w:szCs w:val="21"/>
                <w:highlight w:val="none"/>
                <w:lang w:eastAsia="zh-CN"/>
              </w:rPr>
              <w:t>是否</w:t>
            </w:r>
            <w:r>
              <w:rPr>
                <w:rFonts w:hint="eastAsia" w:ascii="仿宋_GB2312" w:eastAsia="仿宋_GB2312"/>
                <w:szCs w:val="21"/>
                <w:highlight w:val="none"/>
              </w:rPr>
              <w:t>符合规定要求；⑦项目管理</w:t>
            </w:r>
            <w:r>
              <w:rPr>
                <w:rFonts w:hint="eastAsia" w:ascii="仿宋_GB2312" w:eastAsia="仿宋_GB2312"/>
                <w:szCs w:val="21"/>
                <w:highlight w:val="none"/>
                <w:lang w:eastAsia="zh-CN"/>
              </w:rPr>
              <w:t>是否</w:t>
            </w:r>
            <w:r>
              <w:rPr>
                <w:rFonts w:hint="eastAsia" w:ascii="仿宋_GB2312" w:eastAsia="仿宋_GB2312"/>
                <w:szCs w:val="21"/>
                <w:highlight w:val="none"/>
              </w:rPr>
              <w:t>规范（包括项目立项、申报、招投标、</w:t>
            </w:r>
            <w:r>
              <w:rPr>
                <w:rFonts w:hint="eastAsia" w:ascii="仿宋_GB2312" w:eastAsia="仿宋_GB2312"/>
                <w:szCs w:val="21"/>
                <w:highlight w:val="none"/>
                <w:lang w:eastAsia="zh-CN"/>
              </w:rPr>
              <w:t>合同或协议要素、</w:t>
            </w:r>
            <w:r>
              <w:rPr>
                <w:rFonts w:hint="eastAsia" w:ascii="仿宋_GB2312" w:eastAsia="仿宋_GB2312"/>
                <w:szCs w:val="21"/>
                <w:highlight w:val="none"/>
              </w:rPr>
              <w:t>制度建立、按时完工等）</w:t>
            </w:r>
            <w:r>
              <w:rPr>
                <w:rFonts w:hint="eastAsia" w:ascii="仿宋_GB2312" w:eastAsia="仿宋_GB2312"/>
                <w:szCs w:val="21"/>
                <w:highlight w:val="none"/>
                <w:lang w:eastAsia="zh-CN"/>
              </w:rPr>
              <w:t>。</w:t>
            </w:r>
          </w:p>
          <w:p>
            <w:pPr>
              <w:widowControl/>
              <w:rPr>
                <w:rFonts w:hint="eastAsia" w:ascii="仿宋_GB2312" w:eastAsia="仿宋_GB2312"/>
                <w:szCs w:val="21"/>
                <w:highlight w:val="none"/>
              </w:rPr>
            </w:pPr>
            <w:r>
              <w:rPr>
                <w:rFonts w:hint="eastAsia" w:ascii="仿宋_GB2312" w:eastAsia="仿宋_GB2312"/>
                <w:szCs w:val="21"/>
                <w:highlight w:val="none"/>
                <w:lang w:eastAsia="zh-CN"/>
              </w:rPr>
              <w:t>以上情况</w:t>
            </w:r>
            <w:r>
              <w:rPr>
                <w:rFonts w:hint="eastAsia" w:ascii="仿宋_GB2312" w:eastAsia="仿宋_GB2312"/>
                <w:szCs w:val="21"/>
                <w:highlight w:val="none"/>
              </w:rPr>
              <w:t>每发现一</w:t>
            </w:r>
            <w:r>
              <w:rPr>
                <w:rFonts w:hint="eastAsia" w:ascii="仿宋_GB2312" w:eastAsia="仿宋_GB2312"/>
                <w:szCs w:val="21"/>
                <w:highlight w:val="none"/>
                <w:lang w:eastAsia="zh-CN"/>
              </w:rPr>
              <w:t>例不符合要求的</w:t>
            </w:r>
            <w:r>
              <w:rPr>
                <w:rFonts w:hint="eastAsia" w:ascii="仿宋_GB2312" w:eastAsia="仿宋_GB2312"/>
                <w:szCs w:val="21"/>
                <w:highlight w:val="none"/>
              </w:rPr>
              <w:t>扣</w:t>
            </w:r>
            <w:r>
              <w:rPr>
                <w:rFonts w:hint="eastAsia" w:ascii="仿宋_GB2312" w:eastAsia="仿宋_GB2312"/>
                <w:szCs w:val="21"/>
                <w:highlight w:val="none"/>
                <w:lang w:val="en-US" w:eastAsia="zh-CN"/>
              </w:rPr>
              <w:t>1</w:t>
            </w:r>
            <w:r>
              <w:rPr>
                <w:rFonts w:hint="eastAsia" w:ascii="仿宋_GB2312" w:eastAsia="仿宋_GB2312"/>
                <w:szCs w:val="21"/>
                <w:highlight w:val="none"/>
              </w:rPr>
              <w:t>分，扣完为止。</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资金</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使用</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合规性</w:t>
            </w:r>
          </w:p>
        </w:tc>
        <w:tc>
          <w:tcPr>
            <w:tcW w:w="706" w:type="dxa"/>
            <w:noWrap w:val="0"/>
            <w:tcMar>
              <w:top w:w="10" w:type="dxa"/>
              <w:left w:w="10" w:type="dxa"/>
              <w:bottom w:w="0" w:type="dxa"/>
              <w:right w:w="10" w:type="dxa"/>
            </w:tcMar>
            <w:vAlign w:val="center"/>
          </w:tcPr>
          <w:p>
            <w:pPr>
              <w:tabs>
                <w:tab w:val="left" w:pos="2604"/>
              </w:tabs>
              <w:spacing w:line="320" w:lineRule="exact"/>
              <w:ind w:right="105" w:rightChars="5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7分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部门使用预算资金是否符合相关的预算财务管理制度的规定，用以反映和考核部门预算资金的规范运行情况。</w:t>
            </w:r>
          </w:p>
        </w:tc>
        <w:tc>
          <w:tcPr>
            <w:tcW w:w="3582" w:type="dxa"/>
            <w:noWrap w:val="0"/>
            <w:tcMar>
              <w:top w:w="10" w:type="dxa"/>
              <w:left w:w="10" w:type="dxa"/>
              <w:bottom w:w="0" w:type="dxa"/>
              <w:right w:w="10" w:type="dxa"/>
            </w:tcMar>
            <w:vAlign w:val="center"/>
          </w:tcPr>
          <w:p>
            <w:pPr>
              <w:widowControl/>
              <w:rPr>
                <w:rFonts w:hint="eastAsia" w:ascii="仿宋_GB2312" w:eastAsia="仿宋_GB2312"/>
                <w:szCs w:val="21"/>
                <w:highlight w:val="none"/>
                <w:lang w:eastAsia="zh-CN"/>
              </w:rPr>
            </w:pPr>
            <w:r>
              <w:rPr>
                <w:rFonts w:hint="eastAsia" w:ascii="仿宋_GB2312" w:hAnsi="宋体" w:eastAsia="仿宋_GB2312" w:cs="宋体"/>
                <w:szCs w:val="21"/>
                <w:highlight w:val="none"/>
              </w:rPr>
              <w:t>①</w:t>
            </w:r>
            <w:r>
              <w:rPr>
                <w:rFonts w:hint="eastAsia" w:ascii="仿宋_GB2312" w:eastAsia="仿宋_GB2312"/>
                <w:szCs w:val="21"/>
                <w:highlight w:val="none"/>
              </w:rPr>
              <w:t>是否符合国家财经法规和财务管理制度规定以及有关预算支出管理办法的规定；</w:t>
            </w:r>
            <w:r>
              <w:rPr>
                <w:rFonts w:hint="eastAsia" w:ascii="仿宋_GB2312" w:hAnsi="宋体" w:eastAsia="仿宋_GB2312" w:cs="宋体"/>
                <w:szCs w:val="21"/>
                <w:highlight w:val="none"/>
              </w:rPr>
              <w:t>②</w:t>
            </w:r>
            <w:r>
              <w:rPr>
                <w:rFonts w:hint="eastAsia" w:ascii="仿宋_GB2312" w:eastAsia="仿宋_GB2312"/>
                <w:szCs w:val="21"/>
                <w:highlight w:val="none"/>
              </w:rPr>
              <w:t>资金的拨付是否有完整的审批程序和手续；</w:t>
            </w:r>
            <w:r>
              <w:rPr>
                <w:rFonts w:hint="eastAsia" w:ascii="仿宋_GB2312" w:hAnsi="宋体" w:eastAsia="仿宋_GB2312" w:cs="宋体"/>
                <w:szCs w:val="21"/>
                <w:highlight w:val="none"/>
              </w:rPr>
              <w:t>③</w:t>
            </w:r>
            <w:r>
              <w:rPr>
                <w:rFonts w:hint="eastAsia" w:ascii="仿宋_GB2312" w:eastAsia="仿宋_GB2312"/>
                <w:szCs w:val="21"/>
                <w:highlight w:val="none"/>
              </w:rPr>
              <w:t>预算支出的重大开支是否经过</w:t>
            </w:r>
            <w:r>
              <w:rPr>
                <w:rFonts w:hint="eastAsia" w:ascii="仿宋_GB2312" w:hAnsi="仿宋" w:eastAsia="仿宋_GB2312" w:cs="仿宋"/>
                <w:kern w:val="0"/>
                <w:sz w:val="20"/>
                <w:szCs w:val="20"/>
                <w:highlight w:val="none"/>
              </w:rPr>
              <w:t>集体研究决策</w:t>
            </w:r>
            <w:r>
              <w:rPr>
                <w:rFonts w:hint="eastAsia" w:ascii="仿宋_GB2312" w:hAnsi="仿宋" w:eastAsia="仿宋_GB2312" w:cs="仿宋"/>
                <w:kern w:val="0"/>
                <w:sz w:val="20"/>
                <w:szCs w:val="20"/>
                <w:highlight w:val="none"/>
                <w:lang w:eastAsia="zh-CN"/>
              </w:rPr>
              <w:t>或</w:t>
            </w:r>
            <w:r>
              <w:rPr>
                <w:rFonts w:hint="eastAsia" w:ascii="仿宋_GB2312" w:eastAsia="仿宋_GB2312"/>
                <w:szCs w:val="21"/>
                <w:highlight w:val="none"/>
              </w:rPr>
              <w:t>评估论证；④是否符合部门预算批复的用途；⑤是否存在截留、挤占、挪用、虚列支出</w:t>
            </w:r>
            <w:r>
              <w:rPr>
                <w:rFonts w:hint="eastAsia" w:ascii="仿宋_GB2312" w:eastAsia="仿宋_GB2312"/>
                <w:szCs w:val="21"/>
                <w:highlight w:val="none"/>
                <w:lang w:eastAsia="zh-CN"/>
              </w:rPr>
              <w:t>、</w:t>
            </w:r>
            <w:r>
              <w:rPr>
                <w:rFonts w:hint="eastAsia" w:ascii="仿宋_GB2312" w:eastAsia="仿宋_GB2312"/>
                <w:szCs w:val="21"/>
                <w:highlight w:val="none"/>
              </w:rPr>
              <w:t>随意借用、大额现金支付等情况</w:t>
            </w:r>
            <w:r>
              <w:rPr>
                <w:rFonts w:hint="eastAsia" w:ascii="仿宋_GB2312" w:eastAsia="仿宋_GB2312"/>
                <w:szCs w:val="21"/>
                <w:highlight w:val="none"/>
                <w:lang w:eastAsia="zh-CN"/>
              </w:rPr>
              <w:t>；</w:t>
            </w:r>
            <w:r>
              <w:rPr>
                <w:rFonts w:hint="eastAsia" w:ascii="仿宋_GB2312" w:eastAsia="仿宋_GB2312"/>
                <w:szCs w:val="21"/>
                <w:highlight w:val="none"/>
              </w:rPr>
              <w:t>⑥原始凭证的取得真实有效；⑦无超标准发放津补贴、奖金，无用公款支付应由个人支付的款项。</w:t>
            </w:r>
          </w:p>
          <w:p>
            <w:pPr>
              <w:widowControl/>
              <w:rPr>
                <w:rFonts w:hint="default" w:ascii="仿宋_GB2312" w:eastAsia="仿宋_GB2312"/>
                <w:szCs w:val="21"/>
                <w:highlight w:val="none"/>
                <w:lang w:val="en-US"/>
              </w:rPr>
            </w:pPr>
            <w:r>
              <w:rPr>
                <w:rFonts w:hint="eastAsia" w:ascii="仿宋_GB2312" w:hAnsi="仿宋" w:eastAsia="仿宋_GB2312" w:cs="仿宋"/>
                <w:kern w:val="0"/>
                <w:sz w:val="20"/>
                <w:szCs w:val="20"/>
                <w:highlight w:val="none"/>
              </w:rPr>
              <w:t>以上情况每出现一例不</w:t>
            </w:r>
            <w:r>
              <w:rPr>
                <w:rFonts w:hint="eastAsia" w:ascii="仿宋_GB2312" w:hAnsi="宋体" w:eastAsia="仿宋_GB2312" w:cs="宋体"/>
                <w:kern w:val="0"/>
                <w:sz w:val="20"/>
                <w:szCs w:val="20"/>
                <w:highlight w:val="none"/>
              </w:rPr>
              <w:t>符合要求的扣</w:t>
            </w:r>
            <w:r>
              <w:rPr>
                <w:rFonts w:hint="eastAsia" w:ascii="仿宋_GB2312" w:hAnsi="宋体" w:eastAsia="仿宋_GB2312" w:cs="宋体"/>
                <w:kern w:val="0"/>
                <w:sz w:val="20"/>
                <w:szCs w:val="20"/>
                <w:highlight w:val="none"/>
                <w:lang w:val="en-US" w:eastAsia="zh-CN"/>
              </w:rPr>
              <w:t>1</w:t>
            </w:r>
            <w:r>
              <w:rPr>
                <w:rFonts w:hint="eastAsia" w:ascii="仿宋_GB2312" w:hAnsi="宋体" w:eastAsia="仿宋_GB2312" w:cs="宋体"/>
                <w:kern w:val="0"/>
                <w:sz w:val="20"/>
                <w:szCs w:val="20"/>
                <w:highlight w:val="none"/>
              </w:rPr>
              <w:t>分，扣完为止。</w:t>
            </w:r>
            <w:r>
              <w:rPr>
                <w:rFonts w:hint="eastAsia" w:ascii="仿宋_GB2312" w:hAnsi="宋体" w:eastAsia="仿宋_GB2312" w:cs="宋体"/>
                <w:kern w:val="0"/>
                <w:sz w:val="20"/>
                <w:szCs w:val="20"/>
                <w:highlight w:val="none"/>
                <w:lang w:val="en-US" w:eastAsia="zh-CN"/>
              </w:rPr>
              <w:t>如果被评价单位在</w:t>
            </w:r>
            <w:r>
              <w:rPr>
                <w:rFonts w:hint="eastAsia" w:ascii="仿宋_GB2312" w:eastAsia="仿宋_GB2312"/>
                <w:szCs w:val="21"/>
                <w:highlight w:val="none"/>
                <w:lang w:eastAsia="zh-CN"/>
              </w:rPr>
              <w:t>评价年度</w:t>
            </w:r>
            <w:r>
              <w:rPr>
                <w:rFonts w:hint="eastAsia" w:ascii="仿宋_GB2312" w:eastAsia="仿宋_GB2312"/>
                <w:szCs w:val="21"/>
                <w:highlight w:val="none"/>
                <w:lang w:val="en-US" w:eastAsia="zh-CN"/>
              </w:rPr>
              <w:t>内</w:t>
            </w:r>
            <w:r>
              <w:rPr>
                <w:rFonts w:hint="eastAsia" w:ascii="仿宋_GB2312" w:eastAsia="仿宋_GB2312"/>
                <w:szCs w:val="21"/>
                <w:highlight w:val="none"/>
                <w:lang w:eastAsia="zh-CN"/>
              </w:rPr>
              <w:t>资金</w:t>
            </w:r>
            <w:r>
              <w:rPr>
                <w:rFonts w:hint="eastAsia" w:ascii="仿宋_GB2312" w:eastAsia="仿宋_GB2312"/>
                <w:szCs w:val="21"/>
                <w:highlight w:val="none"/>
                <w:lang w:val="en-US" w:eastAsia="zh-CN"/>
              </w:rPr>
              <w:t>管理、</w:t>
            </w:r>
            <w:r>
              <w:rPr>
                <w:rFonts w:hint="eastAsia" w:ascii="仿宋_GB2312" w:eastAsia="仿宋_GB2312"/>
                <w:szCs w:val="21"/>
                <w:highlight w:val="none"/>
                <w:lang w:eastAsia="zh-CN"/>
              </w:rPr>
              <w:t>使用</w:t>
            </w:r>
            <w:r>
              <w:rPr>
                <w:rFonts w:hint="eastAsia" w:ascii="仿宋_GB2312" w:eastAsia="仿宋_GB2312"/>
                <w:szCs w:val="21"/>
                <w:highlight w:val="none"/>
                <w:lang w:val="en-US" w:eastAsia="zh-CN"/>
              </w:rPr>
              <w:t>方面出现</w:t>
            </w:r>
            <w:r>
              <w:rPr>
                <w:rFonts w:hint="eastAsia" w:ascii="仿宋_GB2312" w:eastAsia="仿宋_GB2312"/>
                <w:szCs w:val="21"/>
                <w:highlight w:val="none"/>
                <w:lang w:eastAsia="zh-CN"/>
              </w:rPr>
              <w:t>严重违纪违法问题或</w:t>
            </w:r>
            <w:r>
              <w:rPr>
                <w:rFonts w:hint="eastAsia" w:ascii="仿宋_GB2312" w:eastAsia="仿宋_GB2312"/>
                <w:szCs w:val="21"/>
                <w:highlight w:val="none"/>
                <w:lang w:val="en-US" w:eastAsia="zh-CN"/>
              </w:rPr>
              <w:t>发生</w:t>
            </w:r>
            <w:r>
              <w:rPr>
                <w:rFonts w:hint="eastAsia" w:ascii="仿宋_GB2312" w:eastAsia="仿宋_GB2312"/>
                <w:szCs w:val="21"/>
                <w:highlight w:val="none"/>
                <w:lang w:eastAsia="zh-CN"/>
              </w:rPr>
              <w:t>被纪检</w:t>
            </w:r>
            <w:r>
              <w:rPr>
                <w:rFonts w:hint="eastAsia" w:ascii="仿宋_GB2312" w:eastAsia="仿宋_GB2312"/>
                <w:szCs w:val="21"/>
                <w:highlight w:val="none"/>
                <w:lang w:val="en-US" w:eastAsia="zh-CN"/>
              </w:rPr>
              <w:t>监察</w:t>
            </w:r>
            <w:r>
              <w:rPr>
                <w:rFonts w:hint="eastAsia" w:ascii="仿宋_GB2312" w:eastAsia="仿宋_GB2312"/>
                <w:szCs w:val="21"/>
                <w:highlight w:val="none"/>
                <w:lang w:eastAsia="zh-CN"/>
              </w:rPr>
              <w:t>、司法等部门处理的</w:t>
            </w:r>
            <w:r>
              <w:rPr>
                <w:rFonts w:hint="eastAsia" w:ascii="仿宋_GB2312" w:eastAsia="仿宋_GB2312"/>
                <w:szCs w:val="21"/>
                <w:highlight w:val="none"/>
                <w:lang w:val="en-US" w:eastAsia="zh-CN"/>
              </w:rPr>
              <w:t>事件</w:t>
            </w:r>
            <w:r>
              <w:rPr>
                <w:rFonts w:hint="eastAsia" w:ascii="仿宋_GB2312" w:eastAsia="仿宋_GB2312"/>
                <w:szCs w:val="21"/>
                <w:highlight w:val="none"/>
                <w:lang w:eastAsia="zh-CN"/>
              </w:rPr>
              <w:t>，则该项计</w:t>
            </w:r>
            <w:r>
              <w:rPr>
                <w:rFonts w:hint="eastAsia" w:ascii="仿宋_GB2312" w:eastAsia="仿宋_GB2312"/>
                <w:szCs w:val="21"/>
                <w:highlight w:val="none"/>
                <w:lang w:val="en-US" w:eastAsia="zh-CN"/>
              </w:rPr>
              <w:t>0分。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585" w:type="dxa"/>
            <w:vMerge w:val="continue"/>
            <w:tcBorders>
              <w:bottom w:val="nil"/>
            </w:tcBorders>
            <w:noWrap w:val="0"/>
            <w:vAlign w:val="center"/>
          </w:tcPr>
          <w:p>
            <w:pPr>
              <w:spacing w:line="320" w:lineRule="exact"/>
              <w:jc w:val="center"/>
              <w:rPr>
                <w:rFonts w:hint="eastAsia" w:ascii="仿宋_GB2312" w:eastAsia="仿宋_GB2312"/>
                <w:szCs w:val="21"/>
                <w:highlight w:val="none"/>
              </w:rPr>
            </w:pPr>
          </w:p>
        </w:tc>
        <w:tc>
          <w:tcPr>
            <w:tcW w:w="598" w:type="dxa"/>
            <w:vMerge w:val="continue"/>
            <w:tcBorders>
              <w:bottom w:val="nil"/>
            </w:tcBorders>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预决算信息</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公开性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部门是否按照政府信息公开有关规定公开相关预决算信息，用以反映和考核部门预决算管理的公开透明情况。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hAnsi="宋体" w:eastAsia="仿宋_GB2312" w:cs="宋体"/>
                <w:szCs w:val="21"/>
                <w:highlight w:val="none"/>
              </w:rPr>
              <w:t>①</w:t>
            </w:r>
            <w:r>
              <w:rPr>
                <w:rFonts w:hint="eastAsia" w:ascii="仿宋_GB2312" w:eastAsia="仿宋_GB2312"/>
                <w:szCs w:val="21"/>
                <w:highlight w:val="none"/>
                <w:lang w:eastAsia="zh-CN"/>
              </w:rPr>
              <w:t>公开的内容是否完整、准确</w:t>
            </w:r>
            <w:r>
              <w:rPr>
                <w:rFonts w:hint="eastAsia" w:ascii="仿宋_GB2312" w:eastAsia="仿宋_GB2312"/>
                <w:szCs w:val="21"/>
                <w:highlight w:val="none"/>
              </w:rPr>
              <w:t>；</w:t>
            </w:r>
            <w:r>
              <w:rPr>
                <w:rFonts w:hint="eastAsia" w:ascii="仿宋_GB2312" w:hAnsi="宋体" w:eastAsia="仿宋_GB2312" w:cs="宋体"/>
                <w:szCs w:val="21"/>
                <w:highlight w:val="none"/>
              </w:rPr>
              <w:t>②</w:t>
            </w:r>
            <w:r>
              <w:rPr>
                <w:rFonts w:hint="eastAsia" w:ascii="仿宋_GB2312" w:hAnsi="宋体" w:eastAsia="仿宋_GB2312" w:cs="宋体"/>
                <w:szCs w:val="21"/>
                <w:highlight w:val="none"/>
                <w:lang w:eastAsia="zh-CN"/>
              </w:rPr>
              <w:t>公开时间</w:t>
            </w:r>
            <w:r>
              <w:rPr>
                <w:rFonts w:hint="eastAsia" w:ascii="仿宋_GB2312" w:eastAsia="仿宋_GB2312"/>
                <w:szCs w:val="21"/>
                <w:highlight w:val="none"/>
              </w:rPr>
              <w:t>是否</w:t>
            </w:r>
            <w:r>
              <w:rPr>
                <w:rFonts w:hint="eastAsia" w:ascii="仿宋_GB2312" w:eastAsia="仿宋_GB2312"/>
                <w:szCs w:val="21"/>
                <w:highlight w:val="none"/>
                <w:lang w:eastAsia="zh-CN"/>
              </w:rPr>
              <w:t>及时。</w:t>
            </w:r>
            <w:r>
              <w:rPr>
                <w:rFonts w:hint="eastAsia" w:ascii="仿宋_GB2312" w:eastAsia="仿宋_GB2312"/>
                <w:szCs w:val="21"/>
                <w:highlight w:val="none"/>
              </w:rPr>
              <w:t>预决算信息</w:t>
            </w:r>
            <w:r>
              <w:rPr>
                <w:rFonts w:hint="eastAsia" w:ascii="仿宋_GB2312" w:eastAsia="仿宋_GB2312"/>
                <w:szCs w:val="21"/>
                <w:highlight w:val="none"/>
                <w:lang w:eastAsia="zh-CN"/>
              </w:rPr>
              <w:t>公开</w:t>
            </w:r>
            <w:r>
              <w:rPr>
                <w:rFonts w:hint="eastAsia" w:ascii="仿宋_GB2312" w:eastAsia="仿宋_GB2312"/>
                <w:szCs w:val="21"/>
                <w:highlight w:val="none"/>
              </w:rPr>
              <w:t>是指与部门预算、决算</w:t>
            </w:r>
            <w:r>
              <w:rPr>
                <w:rFonts w:hint="eastAsia" w:ascii="仿宋_GB2312" w:eastAsia="仿宋_GB2312"/>
                <w:szCs w:val="21"/>
                <w:highlight w:val="none"/>
                <w:lang w:val="en-US" w:eastAsia="zh-CN"/>
              </w:rPr>
              <w:t>的公开和</w:t>
            </w:r>
            <w:r>
              <w:rPr>
                <w:rFonts w:hint="eastAsia" w:ascii="仿宋_GB2312" w:eastAsia="仿宋_GB2312"/>
                <w:szCs w:val="21"/>
                <w:highlight w:val="none"/>
                <w:lang w:eastAsia="zh-CN"/>
              </w:rPr>
              <w:t>绩效目标、</w:t>
            </w:r>
            <w:r>
              <w:rPr>
                <w:rFonts w:hint="eastAsia" w:ascii="仿宋_GB2312" w:eastAsia="仿宋_GB2312"/>
                <w:szCs w:val="21"/>
                <w:highlight w:val="none"/>
                <w:lang w:val="en-US" w:eastAsia="zh-CN"/>
              </w:rPr>
              <w:t>绩效</w:t>
            </w:r>
            <w:r>
              <w:rPr>
                <w:rFonts w:hint="eastAsia" w:ascii="仿宋_GB2312" w:eastAsia="仿宋_GB2312"/>
                <w:szCs w:val="21"/>
                <w:highlight w:val="none"/>
                <w:lang w:eastAsia="zh-CN"/>
              </w:rPr>
              <w:t>评价报告</w:t>
            </w:r>
            <w:r>
              <w:rPr>
                <w:rFonts w:hint="eastAsia" w:ascii="仿宋_GB2312" w:eastAsia="仿宋_GB2312"/>
                <w:szCs w:val="21"/>
                <w:highlight w:val="none"/>
              </w:rPr>
              <w:t>等信息</w:t>
            </w:r>
            <w:r>
              <w:rPr>
                <w:rFonts w:hint="eastAsia" w:ascii="仿宋_GB2312" w:eastAsia="仿宋_GB2312"/>
                <w:szCs w:val="21"/>
                <w:highlight w:val="none"/>
                <w:lang w:val="en-US" w:eastAsia="zh-CN"/>
              </w:rPr>
              <w:t>的</w:t>
            </w:r>
            <w:r>
              <w:rPr>
                <w:rFonts w:hint="eastAsia" w:ascii="仿宋_GB2312" w:eastAsia="仿宋_GB2312"/>
                <w:szCs w:val="21"/>
                <w:highlight w:val="none"/>
                <w:lang w:eastAsia="zh-CN"/>
              </w:rPr>
              <w:t>公开</w:t>
            </w:r>
            <w:r>
              <w:rPr>
                <w:rFonts w:hint="eastAsia" w:ascii="仿宋_GB2312" w:eastAsia="仿宋_GB2312"/>
                <w:szCs w:val="21"/>
                <w:highlight w:val="none"/>
              </w:rPr>
              <w:t>。</w:t>
            </w:r>
          </w:p>
          <w:p>
            <w:pPr>
              <w:spacing w:line="320" w:lineRule="exact"/>
              <w:ind w:left="105" w:leftChars="50" w:right="105" w:rightChars="50"/>
              <w:rPr>
                <w:rFonts w:hint="eastAsia" w:ascii="仿宋_GB2312" w:eastAsia="仿宋_GB2312"/>
                <w:szCs w:val="21"/>
                <w:highlight w:val="none"/>
              </w:rPr>
            </w:pPr>
            <w:r>
              <w:rPr>
                <w:rFonts w:hint="eastAsia" w:ascii="仿宋_GB2312" w:hAnsi="仿宋" w:eastAsia="仿宋_GB2312" w:cs="仿宋"/>
                <w:kern w:val="0"/>
                <w:sz w:val="20"/>
                <w:szCs w:val="20"/>
                <w:highlight w:val="none"/>
              </w:rPr>
              <w:t>以上情况每出现一例不</w:t>
            </w:r>
            <w:r>
              <w:rPr>
                <w:rFonts w:hint="eastAsia" w:ascii="仿宋_GB2312" w:hAnsi="宋体" w:eastAsia="仿宋_GB2312" w:cs="宋体"/>
                <w:kern w:val="0"/>
                <w:sz w:val="20"/>
                <w:szCs w:val="20"/>
                <w:highlight w:val="none"/>
              </w:rPr>
              <w:t>符合要求的扣</w:t>
            </w:r>
            <w:r>
              <w:rPr>
                <w:rFonts w:hint="eastAsia" w:ascii="仿宋_GB2312" w:hAnsi="宋体" w:eastAsia="仿宋_GB2312" w:cs="宋体"/>
                <w:kern w:val="0"/>
                <w:sz w:val="20"/>
                <w:szCs w:val="20"/>
                <w:highlight w:val="none"/>
                <w:lang w:val="en-US" w:eastAsia="zh-CN"/>
              </w:rPr>
              <w:t>2</w:t>
            </w:r>
            <w:r>
              <w:rPr>
                <w:rFonts w:hint="eastAsia" w:ascii="仿宋_GB2312" w:hAnsi="宋体" w:eastAsia="仿宋_GB2312" w:cs="宋体"/>
                <w:kern w:val="0"/>
                <w:sz w:val="20"/>
                <w:szCs w:val="20"/>
                <w:highlight w:val="none"/>
              </w:rPr>
              <w:t>分，扣完为止。</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585" w:type="dxa"/>
            <w:vMerge w:val="restart"/>
            <w:tcBorders>
              <w:top w:val="nil"/>
            </w:tcBorders>
            <w:noWrap w:val="0"/>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过</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程</w:t>
            </w:r>
          </w:p>
          <w:p>
            <w:pPr>
              <w:spacing w:line="320" w:lineRule="exact"/>
              <w:jc w:val="center"/>
              <w:rPr>
                <w:rFonts w:hint="eastAsia" w:ascii="仿宋_GB2312" w:eastAsia="仿宋_GB2312"/>
                <w:szCs w:val="21"/>
                <w:highlight w:val="none"/>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48分</w:t>
            </w:r>
          </w:p>
        </w:tc>
        <w:tc>
          <w:tcPr>
            <w:tcW w:w="598" w:type="dxa"/>
            <w:vMerge w:val="restart"/>
            <w:tcBorders>
              <w:top w:val="nil"/>
            </w:tcBorders>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基础</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信息</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完善性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部门基础信息是否完善，用以反映和考核基础信息对预算管理工作的支撑情况。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基础数据信息和会计信息资料是否真实</w:t>
            </w:r>
            <w:r>
              <w:rPr>
                <w:rFonts w:hint="eastAsia" w:ascii="仿宋_GB2312" w:eastAsia="仿宋_GB2312"/>
                <w:szCs w:val="21"/>
                <w:highlight w:val="none"/>
                <w:lang w:eastAsia="zh-CN"/>
              </w:rPr>
              <w:t>、</w:t>
            </w:r>
            <w:r>
              <w:rPr>
                <w:rFonts w:hint="eastAsia" w:ascii="仿宋_GB2312" w:eastAsia="仿宋_GB2312"/>
                <w:szCs w:val="21"/>
                <w:highlight w:val="none"/>
              </w:rPr>
              <w:t>完整</w:t>
            </w:r>
            <w:r>
              <w:rPr>
                <w:rFonts w:hint="eastAsia" w:ascii="仿宋_GB2312" w:eastAsia="仿宋_GB2312"/>
                <w:szCs w:val="21"/>
                <w:highlight w:val="none"/>
                <w:lang w:eastAsia="zh-CN"/>
              </w:rPr>
              <w:t>、</w:t>
            </w:r>
            <w:r>
              <w:rPr>
                <w:rFonts w:hint="eastAsia" w:ascii="仿宋_GB2312" w:eastAsia="仿宋_GB2312"/>
                <w:szCs w:val="21"/>
                <w:highlight w:val="none"/>
              </w:rPr>
              <w:t>准确。</w:t>
            </w:r>
          </w:p>
          <w:p>
            <w:pPr>
              <w:spacing w:line="320" w:lineRule="exact"/>
              <w:ind w:left="105" w:leftChars="50" w:right="105" w:rightChars="50"/>
              <w:rPr>
                <w:rFonts w:hint="eastAsia" w:ascii="仿宋_GB2312" w:eastAsia="仿宋_GB2312"/>
                <w:szCs w:val="21"/>
                <w:highlight w:val="none"/>
              </w:rPr>
            </w:pPr>
            <w:r>
              <w:rPr>
                <w:rFonts w:hint="eastAsia" w:ascii="仿宋_GB2312" w:hAnsi="仿宋" w:eastAsia="仿宋_GB2312" w:cs="仿宋"/>
                <w:kern w:val="0"/>
                <w:sz w:val="20"/>
                <w:szCs w:val="20"/>
                <w:highlight w:val="none"/>
              </w:rPr>
              <w:t>以上情况每出现一例不</w:t>
            </w:r>
            <w:r>
              <w:rPr>
                <w:rFonts w:hint="eastAsia" w:ascii="仿宋_GB2312" w:hAnsi="宋体" w:eastAsia="仿宋_GB2312" w:cs="宋体"/>
                <w:kern w:val="0"/>
                <w:sz w:val="20"/>
                <w:szCs w:val="20"/>
                <w:highlight w:val="none"/>
              </w:rPr>
              <w:t>符合要求的扣</w:t>
            </w:r>
            <w:r>
              <w:rPr>
                <w:rFonts w:hint="eastAsia" w:ascii="仿宋_GB2312" w:hAnsi="宋体" w:eastAsia="仿宋_GB2312" w:cs="宋体"/>
                <w:kern w:val="0"/>
                <w:sz w:val="20"/>
                <w:szCs w:val="20"/>
                <w:highlight w:val="none"/>
                <w:lang w:val="en-US" w:eastAsia="zh-CN"/>
              </w:rPr>
              <w:t>1</w:t>
            </w:r>
            <w:r>
              <w:rPr>
                <w:rFonts w:hint="eastAsia" w:ascii="仿宋_GB2312" w:hAnsi="宋体" w:eastAsia="仿宋_GB2312" w:cs="宋体"/>
                <w:kern w:val="0"/>
                <w:sz w:val="20"/>
                <w:szCs w:val="20"/>
                <w:highlight w:val="none"/>
              </w:rPr>
              <w:t>分，扣完为止。</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hAnsi="宋体" w:eastAsia="仿宋_GB2312" w:cs="宋体"/>
                <w:kern w:val="0"/>
                <w:sz w:val="20"/>
                <w:szCs w:val="20"/>
                <w:highlight w:val="none"/>
              </w:rPr>
              <w:t>非税 收入 管理</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eastAsia="zh-CN"/>
              </w:rPr>
            </w:pPr>
            <w:r>
              <w:rPr>
                <w:rFonts w:hint="eastAsia" w:ascii="仿宋_GB2312" w:eastAsia="仿宋_GB2312"/>
                <w:szCs w:val="21"/>
                <w:highlight w:val="none"/>
                <w:lang w:eastAsia="zh-CN"/>
              </w:rPr>
              <w:t>反映部门非税收入的使用、管理情况。</w:t>
            </w:r>
          </w:p>
        </w:tc>
        <w:tc>
          <w:tcPr>
            <w:tcW w:w="3582" w:type="dxa"/>
            <w:noWrap w:val="0"/>
            <w:tcMar>
              <w:top w:w="10" w:type="dxa"/>
              <w:left w:w="10" w:type="dxa"/>
              <w:bottom w:w="0" w:type="dxa"/>
              <w:right w:w="10" w:type="dxa"/>
            </w:tcMar>
            <w:vAlign w:val="center"/>
          </w:tcPr>
          <w:p>
            <w:pPr>
              <w:widowControl/>
              <w:jc w:val="left"/>
              <w:rPr>
                <w:rFonts w:hint="default" w:ascii="仿宋_GB2312" w:hAnsi="仿宋" w:eastAsia="仿宋_GB2312" w:cs="仿宋"/>
                <w:kern w:val="0"/>
                <w:sz w:val="20"/>
                <w:szCs w:val="20"/>
                <w:highlight w:val="none"/>
                <w:lang w:val="en-US" w:eastAsia="zh-CN"/>
              </w:rPr>
            </w:pPr>
            <w:r>
              <w:rPr>
                <w:rFonts w:hint="eastAsia" w:ascii="仿宋_GB2312" w:hAnsi="宋体" w:eastAsia="仿宋_GB2312" w:cs="宋体"/>
                <w:kern w:val="0"/>
                <w:sz w:val="20"/>
                <w:szCs w:val="20"/>
                <w:highlight w:val="none"/>
              </w:rPr>
              <w:t>①实行收支两条线，</w:t>
            </w:r>
            <w:r>
              <w:rPr>
                <w:rFonts w:hint="eastAsia" w:ascii="仿宋_GB2312" w:hAnsi="宋体" w:eastAsia="仿宋_GB2312" w:cs="宋体"/>
                <w:kern w:val="0"/>
                <w:sz w:val="20"/>
                <w:szCs w:val="20"/>
                <w:highlight w:val="none"/>
                <w:lang w:eastAsia="zh-CN"/>
              </w:rPr>
              <w:t>计</w:t>
            </w:r>
            <w:r>
              <w:rPr>
                <w:rFonts w:hint="eastAsia" w:ascii="仿宋_GB2312" w:hAnsi="宋体" w:eastAsia="仿宋_GB2312" w:cs="宋体"/>
                <w:kern w:val="0"/>
                <w:sz w:val="20"/>
                <w:szCs w:val="20"/>
                <w:highlight w:val="none"/>
              </w:rPr>
              <w:t>1分</w:t>
            </w:r>
            <w:r>
              <w:rPr>
                <w:rFonts w:hint="eastAsia" w:ascii="仿宋_GB2312" w:hAnsi="宋体" w:eastAsia="仿宋_GB2312" w:cs="宋体"/>
                <w:kern w:val="0"/>
                <w:sz w:val="20"/>
                <w:szCs w:val="20"/>
                <w:highlight w:val="none"/>
                <w:lang w:eastAsia="zh-CN"/>
              </w:rPr>
              <w:t>，否则，计</w:t>
            </w:r>
            <w:r>
              <w:rPr>
                <w:rFonts w:hint="eastAsia" w:ascii="仿宋_GB2312" w:hAnsi="宋体" w:eastAsia="仿宋_GB2312" w:cs="宋体"/>
                <w:kern w:val="0"/>
                <w:sz w:val="20"/>
                <w:szCs w:val="20"/>
                <w:highlight w:val="none"/>
                <w:lang w:val="en-US" w:eastAsia="zh-CN"/>
              </w:rPr>
              <w:t>0分；</w:t>
            </w:r>
            <w:r>
              <w:rPr>
                <w:rFonts w:hint="eastAsia" w:ascii="仿宋_GB2312" w:hAnsi="宋体" w:eastAsia="仿宋_GB2312" w:cs="宋体"/>
                <w:kern w:val="0"/>
                <w:sz w:val="20"/>
                <w:szCs w:val="20"/>
                <w:highlight w:val="none"/>
              </w:rPr>
              <w:t>②未发生截留、坐支或转移，</w:t>
            </w:r>
            <w:r>
              <w:rPr>
                <w:rFonts w:hint="eastAsia" w:ascii="仿宋_GB2312" w:hAnsi="宋体" w:eastAsia="仿宋_GB2312" w:cs="宋体"/>
                <w:kern w:val="0"/>
                <w:sz w:val="20"/>
                <w:szCs w:val="20"/>
                <w:highlight w:val="none"/>
                <w:lang w:eastAsia="zh-CN"/>
              </w:rPr>
              <w:t>计</w:t>
            </w:r>
            <w:r>
              <w:rPr>
                <w:rFonts w:hint="eastAsia" w:ascii="仿宋_GB2312" w:hAnsi="宋体" w:eastAsia="仿宋_GB2312" w:cs="宋体"/>
                <w:kern w:val="0"/>
                <w:sz w:val="20"/>
                <w:szCs w:val="20"/>
                <w:highlight w:val="none"/>
              </w:rPr>
              <w:t>1分</w:t>
            </w:r>
            <w:r>
              <w:rPr>
                <w:rFonts w:hint="eastAsia" w:ascii="仿宋_GB2312" w:hAnsi="宋体" w:eastAsia="仿宋_GB2312" w:cs="宋体"/>
                <w:kern w:val="0"/>
                <w:sz w:val="20"/>
                <w:szCs w:val="20"/>
                <w:highlight w:val="none"/>
                <w:lang w:eastAsia="zh-CN"/>
              </w:rPr>
              <w:t>，否则，计</w:t>
            </w:r>
            <w:r>
              <w:rPr>
                <w:rFonts w:hint="eastAsia" w:ascii="仿宋_GB2312" w:hAnsi="宋体" w:eastAsia="仿宋_GB2312" w:cs="宋体"/>
                <w:kern w:val="0"/>
                <w:sz w:val="20"/>
                <w:szCs w:val="20"/>
                <w:highlight w:val="none"/>
                <w:lang w:val="en-US" w:eastAsia="zh-CN"/>
              </w:rPr>
              <w:t>0分。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585" w:type="dxa"/>
            <w:vMerge w:val="continue"/>
            <w:noWrap/>
            <w:tcMar>
              <w:top w:w="10" w:type="dxa"/>
              <w:left w:w="10" w:type="dxa"/>
              <w:bottom w:w="0" w:type="dxa"/>
              <w:right w:w="10" w:type="dxa"/>
            </w:tcMar>
            <w:textDirection w:val="tbRlV"/>
            <w:vAlign w:val="center"/>
          </w:tcPr>
          <w:p>
            <w:pPr>
              <w:spacing w:line="320" w:lineRule="exact"/>
              <w:jc w:val="center"/>
              <w:rPr>
                <w:rFonts w:hint="eastAsia" w:ascii="仿宋_GB2312" w:eastAsia="仿宋_GB2312"/>
                <w:szCs w:val="21"/>
                <w:highlight w:val="none"/>
              </w:rPr>
            </w:pP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资产</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管理</w:t>
            </w:r>
          </w:p>
          <w:p>
            <w:pPr>
              <w:spacing w:line="320" w:lineRule="exact"/>
              <w:jc w:val="center"/>
              <w:rPr>
                <w:rFonts w:hint="eastAsia" w:ascii="仿宋_GB2312" w:eastAsia="仿宋_GB2312"/>
                <w:szCs w:val="21"/>
                <w:highlight w:val="none"/>
                <w:lang w:val="en-US" w:eastAsia="zh-CN"/>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管理</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制度</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健全性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部门为加强资产管理、规范资产管理行为而制定的管理制度是否健全完整，用以反映和考核部门资产管理制度对完成主要职责或促进社会发展的保障情况。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hAnsi="宋体" w:eastAsia="仿宋_GB2312" w:cs="宋体"/>
                <w:szCs w:val="21"/>
                <w:highlight w:val="none"/>
              </w:rPr>
              <w:t>①</w:t>
            </w:r>
            <w:r>
              <w:rPr>
                <w:rFonts w:hint="eastAsia" w:ascii="仿宋_GB2312" w:eastAsia="仿宋_GB2312"/>
                <w:szCs w:val="21"/>
                <w:highlight w:val="none"/>
              </w:rPr>
              <w:t>已制定</w:t>
            </w:r>
            <w:r>
              <w:rPr>
                <w:rFonts w:hint="eastAsia" w:ascii="仿宋_GB2312" w:eastAsia="仿宋_GB2312"/>
                <w:szCs w:val="21"/>
                <w:highlight w:val="none"/>
                <w:lang w:eastAsia="zh-CN"/>
              </w:rPr>
              <w:t>合法、合规、完整的资产管理制度（含流动资产），计</w:t>
            </w:r>
            <w:r>
              <w:rPr>
                <w:rFonts w:hint="eastAsia" w:ascii="仿宋_GB2312" w:eastAsia="仿宋_GB2312"/>
                <w:szCs w:val="21"/>
                <w:highlight w:val="none"/>
                <w:lang w:val="en-US" w:eastAsia="zh-CN"/>
              </w:rPr>
              <w:t>1分，否则，不得分</w:t>
            </w:r>
            <w:r>
              <w:rPr>
                <w:rFonts w:hint="eastAsia" w:ascii="仿宋_GB2312" w:eastAsia="仿宋_GB2312"/>
                <w:szCs w:val="21"/>
                <w:highlight w:val="none"/>
                <w:lang w:eastAsia="zh-CN"/>
              </w:rPr>
              <w:t>。</w:t>
            </w:r>
            <w:r>
              <w:rPr>
                <w:rFonts w:hint="eastAsia" w:ascii="仿宋_GB2312" w:eastAsia="仿宋_GB2312"/>
                <w:szCs w:val="21"/>
                <w:highlight w:val="none"/>
              </w:rPr>
              <w:t xml:space="preserve">        </w:t>
            </w:r>
          </w:p>
          <w:p>
            <w:pPr>
              <w:spacing w:line="320" w:lineRule="exact"/>
              <w:ind w:left="105" w:leftChars="50" w:right="105" w:rightChars="50"/>
              <w:rPr>
                <w:rFonts w:hint="eastAsia" w:ascii="仿宋_GB2312" w:eastAsia="仿宋_GB2312"/>
                <w:szCs w:val="21"/>
                <w:highlight w:val="none"/>
              </w:rPr>
            </w:pPr>
            <w:r>
              <w:rPr>
                <w:rFonts w:hint="eastAsia" w:ascii="仿宋_GB2312" w:hAnsi="宋体" w:eastAsia="仿宋_GB2312" w:cs="宋体"/>
                <w:szCs w:val="21"/>
                <w:highlight w:val="none"/>
              </w:rPr>
              <w:t>③</w:t>
            </w:r>
            <w:r>
              <w:rPr>
                <w:rFonts w:hint="eastAsia" w:ascii="仿宋_GB2312" w:eastAsia="仿宋_GB2312"/>
                <w:szCs w:val="21"/>
                <w:highlight w:val="none"/>
              </w:rPr>
              <w:t>相关资产管理制度得到有效执行</w:t>
            </w:r>
            <w:r>
              <w:rPr>
                <w:rFonts w:hint="eastAsia" w:ascii="仿宋_GB2312" w:eastAsia="仿宋_GB2312"/>
                <w:szCs w:val="21"/>
                <w:highlight w:val="none"/>
                <w:lang w:eastAsia="zh-CN"/>
              </w:rPr>
              <w:t>，计</w:t>
            </w:r>
            <w:r>
              <w:rPr>
                <w:rFonts w:hint="eastAsia" w:ascii="仿宋_GB2312" w:eastAsia="仿宋_GB2312"/>
                <w:szCs w:val="21"/>
                <w:highlight w:val="none"/>
                <w:lang w:val="en-US" w:eastAsia="zh-CN"/>
              </w:rPr>
              <w:t>1分，否则，不得分。</w:t>
            </w:r>
            <w:r>
              <w:rPr>
                <w:rFonts w:hint="eastAsia" w:ascii="仿宋_GB2312" w:eastAsia="仿宋_GB2312"/>
                <w:szCs w:val="21"/>
                <w:highlight w:val="none"/>
              </w:rPr>
              <w:t xml:space="preserve"> </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资产</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管理</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安全性</w:t>
            </w:r>
          </w:p>
        </w:tc>
        <w:tc>
          <w:tcPr>
            <w:tcW w:w="706" w:type="dxa"/>
            <w:noWrap w:val="0"/>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6分</w:t>
            </w:r>
          </w:p>
        </w:tc>
        <w:tc>
          <w:tcPr>
            <w:tcW w:w="2239" w:type="dxa"/>
            <w:noWrap w:val="0"/>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部门的资产是否保存完整、使用合规、配置合理、处置规范、收入及时足额上缴，用以反映和考核部门资产安全运行情况。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hAnsi="仿宋" w:eastAsia="仿宋_GB2312" w:cs="仿宋"/>
                <w:kern w:val="0"/>
                <w:sz w:val="20"/>
                <w:szCs w:val="20"/>
                <w:highlight w:val="none"/>
                <w:lang w:eastAsia="zh-CN"/>
              </w:rPr>
            </w:pPr>
            <w:r>
              <w:rPr>
                <w:rFonts w:hint="eastAsia" w:ascii="仿宋_GB2312" w:hAnsi="宋体" w:eastAsia="仿宋_GB2312" w:cs="宋体"/>
                <w:kern w:val="0"/>
                <w:sz w:val="20"/>
                <w:szCs w:val="20"/>
                <w:highlight w:val="none"/>
              </w:rPr>
              <w:t>①资产保存完整；②资产配置合理</w:t>
            </w:r>
            <w:r>
              <w:rPr>
                <w:rFonts w:hint="eastAsia" w:ascii="仿宋_GB2312" w:hAnsi="宋体" w:eastAsia="仿宋_GB2312" w:cs="宋体"/>
                <w:kern w:val="0"/>
                <w:sz w:val="20"/>
                <w:szCs w:val="20"/>
                <w:highlight w:val="none"/>
                <w:lang w:eastAsia="zh-CN"/>
              </w:rPr>
              <w:t>，</w:t>
            </w:r>
            <w:r>
              <w:rPr>
                <w:rFonts w:hint="eastAsia" w:ascii="仿宋_GB2312" w:hAnsi="宋体" w:eastAsia="仿宋_GB2312" w:cs="宋体"/>
                <w:szCs w:val="21"/>
                <w:highlight w:val="none"/>
              </w:rPr>
              <w:t>资产配置是否按程序采购</w:t>
            </w:r>
            <w:r>
              <w:rPr>
                <w:rFonts w:hint="eastAsia" w:ascii="仿宋_GB2312" w:hAnsi="宋体" w:eastAsia="仿宋_GB2312" w:cs="宋体"/>
                <w:kern w:val="0"/>
                <w:sz w:val="20"/>
                <w:szCs w:val="20"/>
                <w:highlight w:val="none"/>
              </w:rPr>
              <w:t>；③资产处置</w:t>
            </w:r>
            <w:r>
              <w:rPr>
                <w:rFonts w:hint="eastAsia" w:ascii="仿宋_GB2312" w:hAnsi="宋体" w:eastAsia="仿宋_GB2312" w:cs="宋体"/>
                <w:kern w:val="0"/>
                <w:sz w:val="20"/>
                <w:szCs w:val="20"/>
                <w:highlight w:val="none"/>
                <w:lang w:eastAsia="zh-CN"/>
              </w:rPr>
              <w:t>程序</w:t>
            </w:r>
            <w:r>
              <w:rPr>
                <w:rFonts w:hint="eastAsia" w:ascii="仿宋_GB2312" w:hAnsi="宋体" w:eastAsia="仿宋_GB2312" w:cs="宋体"/>
                <w:kern w:val="0"/>
                <w:sz w:val="20"/>
                <w:szCs w:val="20"/>
                <w:highlight w:val="none"/>
              </w:rPr>
              <w:t>规范；④资产账务管理合规，帐实帐卡、账账、账表（决算报表等）相符；⑤资产有偿使用及处置收入及时足额上缴；</w:t>
            </w:r>
            <w:r>
              <w:rPr>
                <w:rFonts w:hint="eastAsia" w:ascii="仿宋_GB2312" w:hAnsi="仿宋" w:eastAsia="仿宋_GB2312" w:cs="仿宋"/>
                <w:kern w:val="0"/>
                <w:sz w:val="20"/>
                <w:szCs w:val="20"/>
                <w:highlight w:val="none"/>
              </w:rPr>
              <w:t>⑥清查盘点：每年至少清查盘点一次；⑦产权明晰，权证齐全；⑧按标准购置固定资产。</w:t>
            </w:r>
          </w:p>
          <w:p>
            <w:pPr>
              <w:spacing w:line="320" w:lineRule="exact"/>
              <w:ind w:left="105" w:leftChars="50" w:right="105" w:rightChars="50"/>
              <w:rPr>
                <w:rFonts w:hint="eastAsia" w:ascii="仿宋_GB2312" w:eastAsia="仿宋_GB2312"/>
                <w:szCs w:val="21"/>
                <w:highlight w:val="none"/>
                <w:lang w:eastAsia="zh-CN"/>
              </w:rPr>
            </w:pPr>
            <w:r>
              <w:rPr>
                <w:rFonts w:hint="eastAsia" w:ascii="仿宋_GB2312" w:hAnsi="宋体" w:eastAsia="仿宋_GB2312" w:cs="宋体"/>
                <w:kern w:val="0"/>
                <w:sz w:val="20"/>
                <w:szCs w:val="20"/>
                <w:highlight w:val="none"/>
              </w:rPr>
              <w:t>以上情况每出现一例不符合要求的扣</w:t>
            </w:r>
            <w:r>
              <w:rPr>
                <w:rFonts w:hint="eastAsia" w:ascii="仿宋_GB2312" w:hAnsi="宋体" w:eastAsia="仿宋_GB2312" w:cs="宋体"/>
                <w:kern w:val="0"/>
                <w:sz w:val="20"/>
                <w:szCs w:val="20"/>
                <w:highlight w:val="none"/>
                <w:lang w:val="en-US" w:eastAsia="zh-CN"/>
              </w:rPr>
              <w:t>1</w:t>
            </w:r>
            <w:r>
              <w:rPr>
                <w:rFonts w:hint="eastAsia" w:ascii="仿宋_GB2312" w:hAnsi="宋体" w:eastAsia="仿宋_GB2312" w:cs="宋体"/>
                <w:kern w:val="0"/>
                <w:sz w:val="20"/>
                <w:szCs w:val="20"/>
                <w:highlight w:val="none"/>
              </w:rPr>
              <w:t>分</w:t>
            </w:r>
            <w:r>
              <w:rPr>
                <w:rFonts w:hint="eastAsia" w:ascii="仿宋_GB2312" w:hAnsi="宋体" w:eastAsia="仿宋_GB2312" w:cs="宋体"/>
                <w:kern w:val="0"/>
                <w:sz w:val="20"/>
                <w:szCs w:val="20"/>
                <w:highlight w:val="none"/>
                <w:lang w:eastAsia="zh-CN"/>
              </w:rPr>
              <w:t>，扣完为止。</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固定</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资产</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利用率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部门实际在用固定资产总额与所有固定资产总额的比率，用以反映和考核部门固定资产使用效率程度。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固定资产利用率=（实际在用固定资产总额/所有固定资产总额）×100%。</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=利用率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2分。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585" w:type="dxa"/>
            <w:vMerge w:val="restart"/>
            <w:tcBorders>
              <w:bottom w:val="nil"/>
            </w:tcBorders>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产   出</w:t>
            </w:r>
          </w:p>
          <w:p>
            <w:pPr>
              <w:spacing w:line="320" w:lineRule="exact"/>
              <w:jc w:val="center"/>
              <w:rPr>
                <w:rFonts w:hint="eastAsia" w:ascii="仿宋_GB2312" w:eastAsia="仿宋_GB2312"/>
                <w:szCs w:val="21"/>
                <w:highlight w:val="none"/>
              </w:rPr>
            </w:pP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 xml:space="preserve"> </w:t>
            </w:r>
            <w:r>
              <w:rPr>
                <w:rFonts w:hint="eastAsia" w:ascii="仿宋_GB2312" w:eastAsia="仿宋_GB2312"/>
                <w:szCs w:val="21"/>
                <w:highlight w:val="none"/>
                <w:lang w:val="en-US" w:eastAsia="zh-CN"/>
              </w:rPr>
              <w:t>22分</w:t>
            </w:r>
            <w:r>
              <w:rPr>
                <w:rFonts w:hint="eastAsia" w:ascii="仿宋_GB2312" w:eastAsia="仿宋_GB2312"/>
                <w:szCs w:val="21"/>
                <w:highlight w:val="none"/>
              </w:rPr>
              <w:t xml:space="preserve"> </w:t>
            </w: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职责</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履行</w:t>
            </w:r>
          </w:p>
          <w:p>
            <w:pPr>
              <w:spacing w:line="320" w:lineRule="exact"/>
              <w:jc w:val="center"/>
              <w:rPr>
                <w:rFonts w:hint="eastAsia" w:ascii="仿宋_GB2312" w:eastAsia="仿宋_GB2312"/>
                <w:szCs w:val="21"/>
                <w:highlight w:val="none"/>
                <w:lang w:val="en-US" w:eastAsia="zh-CN"/>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lang w:eastAsia="zh-CN"/>
              </w:rPr>
              <w:t>部门</w:t>
            </w:r>
            <w:r>
              <w:rPr>
                <w:rFonts w:hint="eastAsia" w:ascii="仿宋_GB2312" w:eastAsia="仿宋_GB2312"/>
                <w:szCs w:val="21"/>
                <w:highlight w:val="none"/>
                <w:lang w:val="en-US" w:eastAsia="zh-CN"/>
              </w:rPr>
              <w:t xml:space="preserve"> </w:t>
            </w:r>
            <w:r>
              <w:rPr>
                <w:rFonts w:hint="eastAsia" w:ascii="仿宋_GB2312" w:eastAsia="仿宋_GB2312"/>
                <w:szCs w:val="21"/>
                <w:highlight w:val="none"/>
                <w:lang w:eastAsia="zh-CN"/>
              </w:rPr>
              <w:t>整体</w:t>
            </w:r>
            <w:r>
              <w:rPr>
                <w:rFonts w:hint="eastAsia" w:ascii="仿宋_GB2312" w:eastAsia="仿宋_GB2312"/>
                <w:szCs w:val="21"/>
                <w:highlight w:val="none"/>
                <w:lang w:val="en-US" w:eastAsia="zh-CN"/>
              </w:rPr>
              <w:t xml:space="preserve"> </w:t>
            </w:r>
            <w:r>
              <w:rPr>
                <w:rFonts w:hint="eastAsia" w:ascii="仿宋_GB2312" w:eastAsia="仿宋_GB2312"/>
                <w:szCs w:val="21"/>
                <w:highlight w:val="none"/>
                <w:lang w:eastAsia="zh-CN"/>
              </w:rPr>
              <w:t>工作</w:t>
            </w:r>
            <w:r>
              <w:rPr>
                <w:rFonts w:hint="eastAsia" w:ascii="仿宋_GB2312" w:eastAsia="仿宋_GB2312"/>
                <w:szCs w:val="21"/>
                <w:highlight w:val="none"/>
                <w:lang w:val="en-US" w:eastAsia="zh-CN"/>
              </w:rPr>
              <w:t xml:space="preserve"> </w:t>
            </w:r>
            <w:r>
              <w:rPr>
                <w:rFonts w:hint="eastAsia" w:ascii="仿宋_GB2312" w:eastAsia="仿宋_GB2312"/>
                <w:szCs w:val="21"/>
                <w:highlight w:val="none"/>
                <w:lang w:eastAsia="zh-CN"/>
              </w:rPr>
              <w:t>质量</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6分</w:t>
            </w:r>
          </w:p>
        </w:tc>
        <w:tc>
          <w:tcPr>
            <w:tcW w:w="2239"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lang w:eastAsia="zh-CN"/>
              </w:rPr>
              <w:t>反映部门党委政府绩效考核评估等级</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val="en-US" w:eastAsia="zh-CN"/>
              </w:rPr>
              <w:t>以市委、市政府绩效</w:t>
            </w:r>
            <w:r>
              <w:rPr>
                <w:rFonts w:hint="eastAsia" w:ascii="仿宋_GB2312" w:eastAsia="仿宋_GB2312"/>
                <w:szCs w:val="21"/>
                <w:highlight w:val="none"/>
              </w:rPr>
              <w:t>效考核评估结果为</w:t>
            </w:r>
            <w:r>
              <w:rPr>
                <w:rFonts w:hint="eastAsia" w:ascii="仿宋_GB2312" w:eastAsia="仿宋_GB2312"/>
                <w:szCs w:val="21"/>
                <w:highlight w:val="none"/>
                <w:lang w:eastAsia="zh-CN"/>
              </w:rPr>
              <w:t>依据：</w:t>
            </w:r>
            <w:r>
              <w:rPr>
                <w:rFonts w:hint="eastAsia" w:ascii="仿宋_GB2312" w:eastAsia="仿宋_GB2312"/>
                <w:szCs w:val="21"/>
                <w:highlight w:val="none"/>
              </w:rPr>
              <w:t>优秀，计</w:t>
            </w:r>
            <w:r>
              <w:rPr>
                <w:rFonts w:hint="eastAsia" w:ascii="仿宋_GB2312" w:eastAsia="仿宋_GB2312"/>
                <w:szCs w:val="21"/>
                <w:highlight w:val="none"/>
                <w:lang w:val="en-US" w:eastAsia="zh-CN"/>
              </w:rPr>
              <w:t>6</w:t>
            </w:r>
            <w:r>
              <w:rPr>
                <w:rFonts w:hint="eastAsia" w:ascii="仿宋_GB2312" w:eastAsia="仿宋_GB2312"/>
                <w:szCs w:val="21"/>
                <w:highlight w:val="none"/>
              </w:rPr>
              <w:t>分；良好，</w:t>
            </w:r>
            <w:r>
              <w:rPr>
                <w:rFonts w:hint="eastAsia" w:ascii="仿宋_GB2312" w:eastAsia="仿宋_GB2312"/>
                <w:szCs w:val="21"/>
                <w:highlight w:val="none"/>
                <w:lang w:val="en-US" w:eastAsia="zh-CN"/>
              </w:rPr>
              <w:t>4</w:t>
            </w:r>
            <w:r>
              <w:rPr>
                <w:rFonts w:hint="eastAsia" w:ascii="仿宋_GB2312" w:eastAsia="仿宋_GB2312"/>
                <w:szCs w:val="21"/>
                <w:highlight w:val="none"/>
              </w:rPr>
              <w:t>分；合格，</w:t>
            </w:r>
            <w:r>
              <w:rPr>
                <w:rFonts w:hint="eastAsia" w:ascii="仿宋_GB2312" w:eastAsia="仿宋_GB2312"/>
                <w:szCs w:val="21"/>
                <w:highlight w:val="none"/>
                <w:lang w:val="en-US" w:eastAsia="zh-CN"/>
              </w:rPr>
              <w:t>2</w:t>
            </w:r>
            <w:r>
              <w:rPr>
                <w:rFonts w:hint="eastAsia" w:ascii="仿宋_GB2312" w:eastAsia="仿宋_GB2312"/>
                <w:szCs w:val="21"/>
                <w:highlight w:val="none"/>
              </w:rPr>
              <w:t>分；不合格，0分。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5" w:hRule="atLeast"/>
          <w:jc w:val="center"/>
        </w:trPr>
        <w:tc>
          <w:tcPr>
            <w:tcW w:w="585" w:type="dxa"/>
            <w:vMerge w:val="continue"/>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p>
        </w:tc>
        <w:tc>
          <w:tcPr>
            <w:tcW w:w="598" w:type="dxa"/>
            <w:vMerge w:val="continue"/>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val="en-US" w:eastAsia="zh-CN"/>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实际</w:t>
            </w:r>
          </w:p>
          <w:p>
            <w:pPr>
              <w:spacing w:line="320" w:lineRule="exact"/>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完成率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4分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部门履行职责而实际完成工作数与计划工作数的比率，用以反映和考核部门履职工作任务目标的实现程度。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实际完成率=（实际完成工作数/计划工作数）×100%。实际完成工作数：一定时期（年度或规划期）内部门实际完成工作任务的数量。计划工作数：部门整体绩效目标确定的一定时期（年度或规划期）内预计完成工作任务的数量。</w:t>
            </w:r>
          </w:p>
          <w:p>
            <w:pPr>
              <w:spacing w:line="320" w:lineRule="exact"/>
              <w:ind w:left="105" w:leftChars="50" w:right="105" w:rightChars="50"/>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=完成率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4分。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585" w:type="dxa"/>
            <w:vMerge w:val="continue"/>
            <w:tcBorders>
              <w:top w:val="nil"/>
            </w:tcBorders>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完成</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及时率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部门在规定时限内及时完成的实际工作数与计划工作数的比率,用以反映和考核部门履职时效目标的实现程度。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完成及时率=（及时完成实际工作数/计划工作数）×100%。及时完成实际工作数：部门按照整体绩效目标确定的时限实际完成的工作任务数量。</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=完成及时率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4分。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质量</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达标率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达到质量标准（绩效标准值）的实际工作数与计划工作数的比率,用以反映和考核部门履职质量目标的实现程度。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质量达标率=（质量达标实际工作数/计划工作数）×100%。质量达标实际工作数：一定时期（年度或规划期）内部门实际完成工作数中达到部门绩效目标要求（绩效标准值）的工作任务数量。</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=达标率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4分。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重点</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工作</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办结率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部门年度重点工作实际完成数与交办或下达数的比率，用以反映部门对重点工作的办理落实程度。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rPr>
              <w:t>重点工作办结率=（重点工作实际完成数/交办或下达数）×100%。</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重点工作是指党委、政府、人大、相关部门交办或下达的工作任务。</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=办结率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4分。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85" w:type="dxa"/>
            <w:vMerge w:val="restart"/>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效   果</w:t>
            </w:r>
          </w:p>
          <w:p>
            <w:pPr>
              <w:spacing w:line="320" w:lineRule="exact"/>
              <w:jc w:val="center"/>
              <w:rPr>
                <w:rFonts w:hint="eastAsia" w:ascii="仿宋_GB2312" w:eastAsia="仿宋_GB2312"/>
                <w:szCs w:val="21"/>
                <w:highlight w:val="none"/>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16分</w:t>
            </w: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履职</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效益</w:t>
            </w:r>
          </w:p>
          <w:p>
            <w:pPr>
              <w:spacing w:line="320" w:lineRule="exact"/>
              <w:jc w:val="center"/>
              <w:rPr>
                <w:rFonts w:hint="eastAsia" w:ascii="仿宋_GB2312" w:eastAsia="仿宋_GB2312"/>
                <w:szCs w:val="21"/>
                <w:highlight w:val="none"/>
                <w:lang w:val="en-US" w:eastAsia="zh-CN"/>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经济</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效益</w:t>
            </w:r>
          </w:p>
        </w:tc>
        <w:tc>
          <w:tcPr>
            <w:tcW w:w="706" w:type="dxa"/>
            <w:vMerge w:val="restart"/>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8分</w:t>
            </w:r>
          </w:p>
        </w:tc>
        <w:tc>
          <w:tcPr>
            <w:tcW w:w="2239" w:type="dxa"/>
            <w:vMerge w:val="restart"/>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部门履行职责对经济发展</w:t>
            </w:r>
            <w:r>
              <w:rPr>
                <w:rFonts w:hint="eastAsia" w:ascii="仿宋_GB2312" w:eastAsia="仿宋_GB2312"/>
                <w:szCs w:val="21"/>
                <w:highlight w:val="none"/>
                <w:lang w:eastAsia="zh-CN"/>
              </w:rPr>
              <w:t>、社会发展、生态环境</w:t>
            </w:r>
            <w:r>
              <w:rPr>
                <w:rFonts w:hint="eastAsia" w:ascii="仿宋_GB2312" w:eastAsia="仿宋_GB2312"/>
                <w:szCs w:val="21"/>
                <w:highlight w:val="none"/>
              </w:rPr>
              <w:t>所带来的直接或间接影响。</w:t>
            </w:r>
          </w:p>
        </w:tc>
        <w:tc>
          <w:tcPr>
            <w:tcW w:w="3582" w:type="dxa"/>
            <w:vMerge w:val="restart"/>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rPr>
              <w:t>此三项指标可根据部门实际并结合部门整体支出绩效目标设立情况有选择的进行</w:t>
            </w:r>
            <w:r>
              <w:rPr>
                <w:rFonts w:hint="eastAsia" w:ascii="仿宋_GB2312" w:eastAsia="仿宋_GB2312"/>
                <w:szCs w:val="21"/>
                <w:highlight w:val="none"/>
                <w:lang w:eastAsia="zh-CN"/>
              </w:rPr>
              <w:t>评价。</w:t>
            </w:r>
          </w:p>
          <w:p>
            <w:pPr>
              <w:spacing w:line="320" w:lineRule="exact"/>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=依据</w:t>
            </w:r>
            <w:r>
              <w:rPr>
                <w:rFonts w:hint="eastAsia" w:ascii="仿宋_GB2312" w:eastAsia="仿宋_GB2312"/>
                <w:szCs w:val="21"/>
                <w:highlight w:val="none"/>
                <w:lang w:eastAsia="zh-CN"/>
              </w:rPr>
              <w:t>评价内容相应计</w:t>
            </w:r>
            <w:r>
              <w:rPr>
                <w:rFonts w:hint="eastAsia" w:ascii="仿宋_GB2312" w:hAnsi="宋体" w:eastAsia="仿宋_GB2312" w:cs="宋体"/>
                <w:kern w:val="0"/>
                <w:sz w:val="20"/>
                <w:szCs w:val="20"/>
                <w:highlight w:val="none"/>
                <w:lang w:val="en-US" w:eastAsia="zh-CN"/>
              </w:rPr>
              <w:t>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社会</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效益</w:t>
            </w:r>
          </w:p>
        </w:tc>
        <w:tc>
          <w:tcPr>
            <w:tcW w:w="706" w:type="dxa"/>
            <w:vMerge w:val="continue"/>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p>
        </w:tc>
        <w:tc>
          <w:tcPr>
            <w:tcW w:w="2239" w:type="dxa"/>
            <w:vMerge w:val="continue"/>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p>
        </w:tc>
        <w:tc>
          <w:tcPr>
            <w:tcW w:w="3582" w:type="dxa"/>
            <w:vMerge w:val="continue"/>
            <w:noWrap w:val="0"/>
            <w:vAlign w:val="center"/>
          </w:tcPr>
          <w:p>
            <w:pPr>
              <w:spacing w:line="320" w:lineRule="exact"/>
              <w:ind w:left="105" w:leftChars="50" w:right="105" w:rightChars="50"/>
              <w:rPr>
                <w:rFonts w:hint="eastAsia" w:ascii="仿宋_GB2312" w:eastAsia="仿宋_GB2312"/>
                <w:szCs w:val="21"/>
                <w:highlight w:val="none"/>
              </w:rPr>
            </w:pPr>
          </w:p>
        </w:tc>
        <w:tc>
          <w:tcPr>
            <w:tcW w:w="861" w:type="dxa"/>
            <w:noWrap w:val="0"/>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生态</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效益</w:t>
            </w:r>
          </w:p>
        </w:tc>
        <w:tc>
          <w:tcPr>
            <w:tcW w:w="706" w:type="dxa"/>
            <w:vMerge w:val="continue"/>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p>
        </w:tc>
        <w:tc>
          <w:tcPr>
            <w:tcW w:w="2239" w:type="dxa"/>
            <w:vMerge w:val="continue"/>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p>
        </w:tc>
        <w:tc>
          <w:tcPr>
            <w:tcW w:w="3582" w:type="dxa"/>
            <w:vMerge w:val="continue"/>
            <w:noWrap w:val="0"/>
            <w:vAlign w:val="center"/>
          </w:tcPr>
          <w:p>
            <w:pPr>
              <w:spacing w:line="320" w:lineRule="exact"/>
              <w:ind w:left="105" w:leftChars="50" w:right="105" w:rightChars="50"/>
              <w:rPr>
                <w:rFonts w:hint="eastAsia" w:ascii="仿宋_GB2312" w:eastAsia="仿宋_GB2312"/>
                <w:szCs w:val="21"/>
                <w:highlight w:val="none"/>
              </w:rPr>
            </w:pPr>
          </w:p>
        </w:tc>
        <w:tc>
          <w:tcPr>
            <w:tcW w:w="861" w:type="dxa"/>
            <w:noWrap w:val="0"/>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社会</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公众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或服务对象</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满意度</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8分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社会公众或部门的服务对象对部门履职效果的满意程度。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社会公众或服务对象是指部门履行职责而影响到的部门、群体或个人。一般采取社会调查的方式</w:t>
            </w:r>
            <w:r>
              <w:rPr>
                <w:rFonts w:hint="eastAsia" w:ascii="仿宋_GB2312" w:hAnsi="宋体" w:eastAsia="仿宋_GB2312" w:cs="宋体"/>
                <w:kern w:val="0"/>
                <w:sz w:val="20"/>
                <w:szCs w:val="20"/>
                <w:highlight w:val="none"/>
              </w:rPr>
              <w:t>(不少于30份)</w:t>
            </w:r>
            <w:r>
              <w:rPr>
                <w:rFonts w:hint="eastAsia" w:ascii="仿宋_GB2312" w:eastAsia="仿宋_GB2312"/>
                <w:szCs w:val="21"/>
                <w:highlight w:val="none"/>
              </w:rPr>
              <w:t>。</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=满意率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8分。</w:t>
            </w: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858" w:type="dxa"/>
            <w:gridSpan w:val="3"/>
            <w:noWrap w:val="0"/>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b/>
                <w:bCs/>
                <w:szCs w:val="21"/>
                <w:highlight w:val="none"/>
                <w:lang w:eastAsia="zh-CN"/>
              </w:rPr>
              <w:t>合</w:t>
            </w:r>
            <w:r>
              <w:rPr>
                <w:rFonts w:hint="eastAsia" w:ascii="仿宋_GB2312" w:eastAsia="仿宋_GB2312"/>
                <w:b/>
                <w:bCs/>
                <w:szCs w:val="21"/>
                <w:highlight w:val="none"/>
                <w:lang w:val="en-US" w:eastAsia="zh-CN"/>
              </w:rPr>
              <w:t xml:space="preserve"> </w:t>
            </w:r>
            <w:r>
              <w:rPr>
                <w:rFonts w:hint="eastAsia" w:ascii="仿宋_GB2312" w:eastAsia="仿宋_GB2312"/>
                <w:b/>
                <w:bCs/>
                <w:szCs w:val="21"/>
                <w:highlight w:val="none"/>
                <w:lang w:eastAsia="zh-CN"/>
              </w:rPr>
              <w:t>计</w:t>
            </w:r>
          </w:p>
        </w:tc>
        <w:tc>
          <w:tcPr>
            <w:tcW w:w="706" w:type="dxa"/>
            <w:noWrap w:val="0"/>
            <w:tcMar>
              <w:top w:w="10" w:type="dxa"/>
              <w:left w:w="10" w:type="dxa"/>
              <w:bottom w:w="0" w:type="dxa"/>
              <w:right w:w="10" w:type="dxa"/>
            </w:tcMar>
            <w:vAlign w:val="center"/>
          </w:tcPr>
          <w:p>
            <w:pPr>
              <w:tabs>
                <w:tab w:val="left" w:pos="2604"/>
              </w:tabs>
              <w:spacing w:line="320" w:lineRule="exact"/>
              <w:ind w:right="105" w:rightChars="50"/>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100分</w:t>
            </w:r>
          </w:p>
        </w:tc>
        <w:tc>
          <w:tcPr>
            <w:tcW w:w="5821" w:type="dxa"/>
            <w:gridSpan w:val="2"/>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p>
        </w:tc>
        <w:tc>
          <w:tcPr>
            <w:tcW w:w="861"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88.63</w:t>
            </w:r>
          </w:p>
        </w:tc>
      </w:tr>
    </w:tbl>
    <w:p>
      <w:pPr>
        <w:widowControl/>
        <w:jc w:val="left"/>
        <w:rPr>
          <w:rFonts w:hint="eastAsia" w:ascii="Adobe 黑体 Std R" w:hAnsi="Adobe 黑体 Std R" w:eastAsia="Adobe 黑体 Std R" w:cs="宋体"/>
          <w:bCs/>
          <w:sz w:val="44"/>
          <w:szCs w:val="44"/>
          <w:highlight w:val="none"/>
        </w:rPr>
      </w:pPr>
      <w:r>
        <w:rPr>
          <w:rFonts w:eastAsia="黑体"/>
          <w:sz w:val="32"/>
          <w:szCs w:val="32"/>
          <w:highlight w:val="none"/>
        </w:rPr>
        <w:t>附件</w:t>
      </w:r>
      <w:r>
        <w:rPr>
          <w:rFonts w:hint="eastAsia" w:eastAsia="黑体"/>
          <w:sz w:val="32"/>
          <w:szCs w:val="32"/>
          <w:highlight w:val="none"/>
          <w:lang w:val="en-US" w:eastAsia="zh-CN"/>
        </w:rPr>
        <w:t>2</w:t>
      </w:r>
    </w:p>
    <w:p>
      <w:pPr>
        <w:spacing w:line="360" w:lineRule="auto"/>
        <w:jc w:val="center"/>
        <w:rPr>
          <w:rFonts w:hint="eastAsia" w:ascii="Adobe 黑体 Std R" w:hAnsi="Adobe 黑体 Std R" w:eastAsia="Adobe 黑体 Std R" w:cs="宋体"/>
          <w:bCs/>
          <w:sz w:val="44"/>
          <w:szCs w:val="44"/>
          <w:highlight w:val="none"/>
        </w:rPr>
      </w:pPr>
      <w:r>
        <w:rPr>
          <w:rFonts w:hint="eastAsia" w:ascii="Adobe 黑体 Std R" w:hAnsi="Adobe 黑体 Std R" w:eastAsia="Adobe 黑体 Std R" w:cs="宋体"/>
          <w:bCs/>
          <w:sz w:val="44"/>
          <w:szCs w:val="44"/>
          <w:highlight w:val="none"/>
        </w:rPr>
        <w:t>部门整体支出绩效评价指标评分说明</w:t>
      </w:r>
    </w:p>
    <w:p>
      <w:pPr>
        <w:spacing w:line="360" w:lineRule="auto"/>
        <w:jc w:val="center"/>
        <w:rPr>
          <w:rFonts w:hint="default" w:eastAsia="楷体"/>
          <w:highlight w:val="none"/>
          <w:lang w:val="en-US" w:eastAsia="zh-CN"/>
        </w:rPr>
      </w:pPr>
      <w:r>
        <w:rPr>
          <w:rFonts w:hint="eastAsia" w:ascii="楷体" w:hAnsi="楷体" w:eastAsia="楷体" w:cs="楷体"/>
          <w:color w:val="000000"/>
          <w:kern w:val="0"/>
          <w:sz w:val="32"/>
          <w:szCs w:val="32"/>
          <w:highlight w:val="none"/>
        </w:rPr>
        <w:t>单位：</w:t>
      </w:r>
      <w:r>
        <w:rPr>
          <w:rFonts w:hint="eastAsia" w:eastAsia="仿宋_GB2312" w:cs="Times New Roman"/>
          <w:b w:val="0"/>
          <w:bCs w:val="0"/>
          <w:sz w:val="32"/>
          <w:szCs w:val="32"/>
          <w:highlight w:val="none"/>
          <w:lang w:val="en-US" w:eastAsia="zh-CN"/>
        </w:rPr>
        <w:t>邵东市城市管理和综合执法局</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一、投入</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1、绩效目标合理性：设立的整体绩效目标符合国家法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律法规、国民经济和社会发展总体规划、部门“三定”方案确定的职责、部门制定的中长期实施规划。此项分值3分，得分3分。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2、绩效指标明确性：①</w:t>
      </w:r>
      <w:r>
        <w:rPr>
          <w:rFonts w:hint="eastAsia" w:ascii="仿宋" w:hAnsi="仿宋" w:eastAsia="仿宋" w:cs="仿宋"/>
          <w:color w:val="000000"/>
          <w:kern w:val="0"/>
          <w:sz w:val="32"/>
          <w:szCs w:val="32"/>
          <w:highlight w:val="none"/>
          <w:lang w:eastAsia="zh-CN"/>
        </w:rPr>
        <w:t>未</w:t>
      </w:r>
      <w:r>
        <w:rPr>
          <w:rFonts w:hint="eastAsia" w:ascii="仿宋" w:hAnsi="仿宋" w:eastAsia="仿宋" w:cs="仿宋"/>
          <w:color w:val="000000"/>
          <w:kern w:val="0"/>
          <w:sz w:val="32"/>
          <w:szCs w:val="32"/>
          <w:highlight w:val="none"/>
        </w:rPr>
        <w:t>将部门整体的绩效目标细化</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分解为具体的工作任务</w:t>
      </w:r>
      <w:r>
        <w:rPr>
          <w:rFonts w:hint="eastAsia" w:ascii="仿宋" w:hAnsi="仿宋" w:eastAsia="仿宋" w:cs="仿宋"/>
          <w:color w:val="000000"/>
          <w:kern w:val="0"/>
          <w:sz w:val="32"/>
          <w:szCs w:val="32"/>
          <w:highlight w:val="none"/>
          <w:lang w:eastAsia="zh-CN"/>
        </w:rPr>
        <w:t>，扣</w:t>
      </w:r>
      <w:r>
        <w:rPr>
          <w:rFonts w:hint="eastAsia" w:ascii="仿宋" w:hAnsi="仿宋" w:eastAsia="仿宋" w:cs="仿宋"/>
          <w:color w:val="000000"/>
          <w:kern w:val="0"/>
          <w:sz w:val="32"/>
          <w:szCs w:val="32"/>
          <w:highlight w:val="none"/>
          <w:lang w:val="en-US" w:eastAsia="zh-CN"/>
        </w:rPr>
        <w:t>1分</w:t>
      </w:r>
      <w:r>
        <w:rPr>
          <w:rFonts w:hint="eastAsia" w:ascii="仿宋" w:hAnsi="仿宋" w:eastAsia="仿宋" w:cs="仿宋"/>
          <w:color w:val="000000"/>
          <w:kern w:val="0"/>
          <w:sz w:val="32"/>
          <w:szCs w:val="32"/>
          <w:highlight w:val="none"/>
        </w:rPr>
        <w:t>；②绩效评价指标未按要求设置清晰、可衡量的指标，扣1分；③部门整体绩效目标与部门年度的任务数或计划数相对应；④与本年度部门预算资金相匹配。此项分值3分，得分</w:t>
      </w: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3、在职人员控制率：：</w:t>
      </w:r>
      <w:r>
        <w:rPr>
          <w:rFonts w:hint="eastAsia" w:ascii="仿宋" w:hAnsi="仿宋" w:eastAsia="仿宋" w:cs="仿宋"/>
          <w:color w:val="000000"/>
          <w:kern w:val="0"/>
          <w:sz w:val="32"/>
          <w:szCs w:val="32"/>
          <w:highlight w:val="none"/>
          <w:lang w:eastAsia="zh-CN"/>
        </w:rPr>
        <w:t>2021</w:t>
      </w:r>
      <w:r>
        <w:rPr>
          <w:rFonts w:hint="eastAsia" w:ascii="仿宋" w:hAnsi="仿宋" w:eastAsia="仿宋" w:cs="仿宋"/>
          <w:color w:val="000000"/>
          <w:kern w:val="0"/>
          <w:sz w:val="32"/>
          <w:szCs w:val="32"/>
          <w:highlight w:val="none"/>
        </w:rPr>
        <w:t>年部门决算编制上报在职人数</w:t>
      </w:r>
      <w:r>
        <w:rPr>
          <w:rFonts w:hint="eastAsia" w:ascii="仿宋" w:hAnsi="仿宋" w:eastAsia="仿宋" w:cs="仿宋"/>
          <w:color w:val="000000"/>
          <w:kern w:val="0"/>
          <w:sz w:val="32"/>
          <w:szCs w:val="32"/>
          <w:highlight w:val="none"/>
          <w:lang w:val="en-US" w:eastAsia="zh-CN"/>
        </w:rPr>
        <w:t>13</w:t>
      </w:r>
      <w:r>
        <w:rPr>
          <w:rFonts w:hint="eastAsia" w:ascii="仿宋" w:hAnsi="仿宋" w:eastAsia="仿宋" w:cs="仿宋"/>
          <w:color w:val="000000"/>
          <w:kern w:val="0"/>
          <w:sz w:val="32"/>
          <w:szCs w:val="32"/>
          <w:highlight w:val="none"/>
        </w:rPr>
        <w:t>人，机构编制部门核定批复的部门的人员编制数为</w:t>
      </w:r>
      <w:r>
        <w:rPr>
          <w:rFonts w:hint="eastAsia" w:ascii="仿宋" w:hAnsi="仿宋" w:eastAsia="仿宋" w:cs="仿宋"/>
          <w:color w:val="000000"/>
          <w:kern w:val="0"/>
          <w:sz w:val="32"/>
          <w:szCs w:val="32"/>
          <w:highlight w:val="none"/>
          <w:lang w:val="en-US" w:eastAsia="zh-CN"/>
        </w:rPr>
        <w:t>14</w:t>
      </w:r>
      <w:r>
        <w:rPr>
          <w:rFonts w:hint="eastAsia" w:ascii="仿宋" w:hAnsi="仿宋" w:eastAsia="仿宋" w:cs="仿宋"/>
          <w:color w:val="000000"/>
          <w:kern w:val="0"/>
          <w:sz w:val="32"/>
          <w:szCs w:val="32"/>
          <w:highlight w:val="none"/>
        </w:rPr>
        <w:t>人。在职人员控制率＝（在职人员数／编制数）</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128</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151</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92.86</w:t>
      </w:r>
      <w:r>
        <w:rPr>
          <w:rFonts w:hint="eastAsia" w:ascii="仿宋" w:hAnsi="仿宋" w:eastAsia="仿宋" w:cs="仿宋"/>
          <w:color w:val="000000"/>
          <w:kern w:val="0"/>
          <w:sz w:val="32"/>
          <w:szCs w:val="32"/>
          <w:highlight w:val="none"/>
        </w:rPr>
        <w:t>%，控制率＜1。此项分值2分，得分</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60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4、</w:t>
      </w:r>
      <w:r>
        <w:rPr>
          <w:rFonts w:hint="eastAsia" w:ascii="仿宋" w:hAnsi="仿宋" w:eastAsia="仿宋" w:cs="仿宋"/>
          <w:color w:val="000000"/>
          <w:kern w:val="0"/>
          <w:sz w:val="32"/>
          <w:szCs w:val="32"/>
          <w:highlight w:val="none"/>
        </w:rPr>
        <w:t>“三公经费”变动率：本年“三公经费”预算总额</w:t>
      </w:r>
      <w:r>
        <w:rPr>
          <w:rFonts w:hint="eastAsia" w:ascii="仿宋" w:hAnsi="仿宋" w:eastAsia="仿宋" w:cs="仿宋"/>
          <w:color w:val="000000"/>
          <w:kern w:val="0"/>
          <w:sz w:val="32"/>
          <w:szCs w:val="32"/>
          <w:highlight w:val="none"/>
          <w:lang w:val="en-US" w:eastAsia="zh-CN"/>
        </w:rPr>
        <w:t>13.06万</w:t>
      </w:r>
      <w:r>
        <w:rPr>
          <w:rFonts w:hint="eastAsia" w:ascii="仿宋" w:hAnsi="仿宋" w:eastAsia="仿宋" w:cs="仿宋"/>
          <w:color w:val="000000"/>
          <w:kern w:val="0"/>
          <w:sz w:val="32"/>
          <w:szCs w:val="32"/>
          <w:highlight w:val="none"/>
        </w:rPr>
        <w:t>元（公务</w:t>
      </w:r>
      <w:r>
        <w:rPr>
          <w:rFonts w:hint="eastAsia" w:ascii="仿宋" w:hAnsi="仿宋" w:eastAsia="仿宋" w:cs="仿宋"/>
          <w:color w:val="000000"/>
          <w:kern w:val="0"/>
          <w:sz w:val="32"/>
          <w:szCs w:val="32"/>
          <w:highlight w:val="none"/>
          <w:lang w:val="en-US" w:eastAsia="zh-CN"/>
        </w:rPr>
        <w:t>接</w:t>
      </w:r>
      <w:r>
        <w:rPr>
          <w:rFonts w:hint="eastAsia" w:ascii="仿宋" w:hAnsi="仿宋" w:eastAsia="仿宋" w:cs="仿宋"/>
          <w:color w:val="000000"/>
          <w:kern w:val="0"/>
          <w:sz w:val="32"/>
          <w:szCs w:val="32"/>
          <w:highlight w:val="none"/>
        </w:rPr>
        <w:t>待</w:t>
      </w:r>
      <w:r>
        <w:rPr>
          <w:rFonts w:hint="eastAsia" w:ascii="仿宋" w:hAnsi="仿宋" w:eastAsia="仿宋" w:cs="仿宋"/>
          <w:color w:val="000000"/>
          <w:kern w:val="0"/>
          <w:sz w:val="32"/>
          <w:szCs w:val="32"/>
          <w:highlight w:val="none"/>
          <w:lang w:val="en-US" w:eastAsia="zh-CN"/>
        </w:rPr>
        <w:t>费）</w:t>
      </w:r>
      <w:r>
        <w:rPr>
          <w:rFonts w:hint="eastAsia" w:ascii="仿宋" w:hAnsi="仿宋" w:eastAsia="仿宋" w:cs="仿宋"/>
          <w:color w:val="000000"/>
          <w:kern w:val="0"/>
          <w:sz w:val="32"/>
          <w:szCs w:val="32"/>
          <w:highlight w:val="none"/>
        </w:rPr>
        <w:t>，上年“三公经费”预算总额</w:t>
      </w:r>
      <w:r>
        <w:rPr>
          <w:rFonts w:hint="eastAsia" w:ascii="仿宋" w:hAnsi="仿宋" w:eastAsia="仿宋" w:cs="仿宋"/>
          <w:color w:val="000000"/>
          <w:kern w:val="0"/>
          <w:sz w:val="32"/>
          <w:szCs w:val="32"/>
          <w:highlight w:val="none"/>
          <w:lang w:val="en-US" w:eastAsia="zh-CN"/>
        </w:rPr>
        <w:t>5万元</w:t>
      </w:r>
      <w:r>
        <w:rPr>
          <w:rFonts w:hint="eastAsia" w:ascii="仿宋" w:hAnsi="仿宋" w:eastAsia="仿宋" w:cs="仿宋"/>
          <w:color w:val="000000"/>
          <w:kern w:val="0"/>
          <w:sz w:val="32"/>
          <w:szCs w:val="32"/>
          <w:highlight w:val="none"/>
        </w:rPr>
        <w:t>。“三公经费”变动率=[（本年度“三公经费”总额-上年度“三公经费”总额）/上年度“三公经费”总额]</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=[(13.06-5）/5]*</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=161.20%</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此项分值2分，得分</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5、重点支出安排率：2021年度项目预算支出1817.60万元，实际项目支出1716.90万元。重点支出安排率=（重点实际支出/重点预算支出）*100%=（1716.90/1817.60）*100%=94.46%。此项分值2分，得分=94.46%*2=1.89分。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6、非税收入完成率：无年度非税收入预算，不扣分。此项分值2分，得分2分。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72" w:firstLineChars="21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二、过程</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72" w:firstLineChars="21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1、预算执行率：财政部门批复的本年度部门预算数为</w:t>
      </w:r>
      <w:r>
        <w:rPr>
          <w:rFonts w:hint="eastAsia" w:ascii="仿宋" w:hAnsi="仿宋" w:eastAsia="仿宋" w:cs="仿宋"/>
          <w:b w:val="0"/>
          <w:bCs w:val="0"/>
          <w:sz w:val="32"/>
          <w:szCs w:val="32"/>
          <w:highlight w:val="none"/>
          <w:lang w:val="en-US" w:eastAsia="zh-CN"/>
        </w:rPr>
        <w:t>2939.89万</w:t>
      </w:r>
      <w:r>
        <w:rPr>
          <w:rFonts w:hint="eastAsia" w:ascii="仿宋" w:hAnsi="仿宋" w:eastAsia="仿宋" w:cs="仿宋"/>
          <w:color w:val="000000"/>
          <w:kern w:val="0"/>
          <w:sz w:val="32"/>
          <w:szCs w:val="32"/>
          <w:highlight w:val="none"/>
          <w:lang w:val="en-US" w:eastAsia="zh-CN"/>
        </w:rPr>
        <w:t>元，部门本年度实际完成的预算数为</w:t>
      </w:r>
      <w:r>
        <w:rPr>
          <w:rFonts w:hint="eastAsia" w:ascii="仿宋" w:hAnsi="仿宋" w:eastAsia="仿宋" w:cs="仿宋"/>
          <w:b w:val="0"/>
          <w:bCs w:val="0"/>
          <w:sz w:val="32"/>
          <w:szCs w:val="32"/>
          <w:highlight w:val="none"/>
          <w:lang w:val="en-US" w:eastAsia="zh-CN"/>
        </w:rPr>
        <w:t>2939.89万</w:t>
      </w:r>
      <w:r>
        <w:rPr>
          <w:rFonts w:hint="eastAsia" w:ascii="仿宋" w:hAnsi="仿宋" w:eastAsia="仿宋" w:cs="仿宋"/>
          <w:color w:val="000000"/>
          <w:kern w:val="0"/>
          <w:sz w:val="32"/>
          <w:szCs w:val="32"/>
          <w:highlight w:val="none"/>
          <w:lang w:val="en-US" w:eastAsia="zh-CN"/>
        </w:rPr>
        <w:t>元，预算执行率=（预算执行数/预算数）100%=</w:t>
      </w:r>
      <w:r>
        <w:rPr>
          <w:rFonts w:hint="eastAsia" w:ascii="仿宋" w:hAnsi="仿宋" w:eastAsia="仿宋" w:cs="仿宋"/>
          <w:b w:val="0"/>
          <w:bCs w:val="0"/>
          <w:sz w:val="32"/>
          <w:szCs w:val="32"/>
          <w:highlight w:val="none"/>
          <w:lang w:val="en-US" w:eastAsia="zh-CN"/>
        </w:rPr>
        <w:t>2939.89/2939.89</w:t>
      </w:r>
      <w:r>
        <w:rPr>
          <w:rFonts w:hint="eastAsia" w:ascii="仿宋" w:hAnsi="仿宋" w:eastAsia="仿宋" w:cs="仿宋"/>
          <w:color w:val="000000"/>
          <w:kern w:val="0"/>
          <w:sz w:val="32"/>
          <w:szCs w:val="32"/>
          <w:highlight w:val="none"/>
          <w:lang w:val="en-US" w:eastAsia="zh-CN"/>
        </w:rPr>
        <w:t>*100%=100%≤1。此项分值2分，此项得2分。</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2、预算调整率：部门在本年度内涉及预算的追加资金总和为210.59万元，预算调整率=（预算调整数/预算数）*100%=（210.59/</w:t>
      </w:r>
      <w:r>
        <w:rPr>
          <w:rFonts w:hint="eastAsia" w:ascii="仿宋" w:hAnsi="仿宋" w:eastAsia="仿宋" w:cs="仿宋"/>
          <w:b w:val="0"/>
          <w:bCs w:val="0"/>
          <w:sz w:val="32"/>
          <w:szCs w:val="32"/>
          <w:highlight w:val="none"/>
          <w:lang w:val="en-US" w:eastAsia="zh-CN"/>
        </w:rPr>
        <w:t>2939.89</w:t>
      </w:r>
      <w:r>
        <w:rPr>
          <w:rFonts w:hint="eastAsia" w:ascii="仿宋" w:hAnsi="仿宋" w:eastAsia="仿宋" w:cs="仿宋"/>
          <w:color w:val="000000"/>
          <w:kern w:val="0"/>
          <w:sz w:val="32"/>
          <w:szCs w:val="32"/>
          <w:highlight w:val="none"/>
          <w:lang w:val="en-US" w:eastAsia="zh-CN"/>
        </w:rPr>
        <w:t>）*100%=7.16%。此项分值2分，得分=（1-7.16%）*2=1.86分。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3、结转结余率：部门本年度的结转资金与结余资金之和决算数为</w:t>
      </w:r>
      <w:r>
        <w:rPr>
          <w:rFonts w:hint="eastAsia" w:ascii="仿宋" w:hAnsi="仿宋" w:eastAsia="仿宋" w:cs="仿宋"/>
          <w:color w:val="000000"/>
          <w:kern w:val="0"/>
          <w:sz w:val="32"/>
          <w:szCs w:val="32"/>
          <w:highlight w:val="none"/>
          <w:lang w:val="en-US" w:eastAsia="zh-CN"/>
        </w:rPr>
        <w:t>0万元</w:t>
      </w:r>
      <w:r>
        <w:rPr>
          <w:rFonts w:hint="eastAsia" w:ascii="仿宋" w:hAnsi="仿宋" w:eastAsia="仿宋" w:cs="仿宋"/>
          <w:color w:val="000000"/>
          <w:kern w:val="0"/>
          <w:sz w:val="32"/>
          <w:szCs w:val="32"/>
          <w:highlight w:val="none"/>
        </w:rPr>
        <w:t>，支出预算数为</w:t>
      </w:r>
      <w:r>
        <w:rPr>
          <w:rFonts w:hint="eastAsia" w:ascii="仿宋" w:hAnsi="仿宋" w:eastAsia="仿宋" w:cs="仿宋"/>
          <w:color w:val="000000"/>
          <w:kern w:val="0"/>
          <w:sz w:val="32"/>
          <w:szCs w:val="32"/>
          <w:highlight w:val="none"/>
          <w:lang w:val="en-US" w:eastAsia="zh-CN"/>
        </w:rPr>
        <w:t>2729.30万</w:t>
      </w:r>
      <w:r>
        <w:rPr>
          <w:rFonts w:hint="eastAsia" w:ascii="仿宋" w:hAnsi="仿宋" w:eastAsia="仿宋" w:cs="仿宋"/>
          <w:color w:val="000000"/>
          <w:kern w:val="0"/>
          <w:sz w:val="32"/>
          <w:szCs w:val="32"/>
          <w:highlight w:val="none"/>
        </w:rPr>
        <w:t>元，结转结余率＝结转结余总额／支出预算数=</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2729.30</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10</w:t>
      </w:r>
      <w:r>
        <w:rPr>
          <w:rFonts w:hint="eastAsia" w:ascii="仿宋" w:hAnsi="仿宋" w:eastAsia="仿宋" w:cs="仿宋"/>
          <w:color w:val="000000"/>
          <w:kern w:val="0"/>
          <w:sz w:val="32"/>
          <w:szCs w:val="32"/>
          <w:highlight w:val="none"/>
        </w:rPr>
        <w:t>%。此项分值2分，得分</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4、公用经费控制率：部门本年度实际支出的公用经费总额为</w:t>
      </w:r>
      <w:r>
        <w:rPr>
          <w:rFonts w:hint="eastAsia" w:ascii="仿宋" w:hAnsi="仿宋" w:eastAsia="仿宋" w:cs="仿宋"/>
          <w:color w:val="auto"/>
          <w:kern w:val="0"/>
          <w:sz w:val="32"/>
          <w:szCs w:val="32"/>
          <w:highlight w:val="none"/>
          <w:lang w:val="en-US" w:eastAsia="zh-CN"/>
        </w:rPr>
        <w:t>1677.63万</w:t>
      </w:r>
      <w:r>
        <w:rPr>
          <w:rFonts w:hint="eastAsia" w:ascii="仿宋" w:hAnsi="仿宋" w:eastAsia="仿宋" w:cs="仿宋"/>
          <w:color w:val="auto"/>
          <w:kern w:val="0"/>
          <w:sz w:val="32"/>
          <w:szCs w:val="32"/>
          <w:highlight w:val="none"/>
        </w:rPr>
        <w:t>元，预算安排的公用经费总额为</w:t>
      </w:r>
      <w:r>
        <w:rPr>
          <w:rFonts w:hint="eastAsia" w:ascii="仿宋" w:hAnsi="仿宋" w:eastAsia="仿宋" w:cs="仿宋"/>
          <w:color w:val="auto"/>
          <w:kern w:val="0"/>
          <w:sz w:val="32"/>
          <w:szCs w:val="32"/>
          <w:highlight w:val="none"/>
          <w:lang w:val="en-US" w:eastAsia="zh-CN"/>
        </w:rPr>
        <w:t>1937.40万</w:t>
      </w:r>
      <w:r>
        <w:rPr>
          <w:rFonts w:hint="eastAsia" w:ascii="仿宋" w:hAnsi="仿宋" w:eastAsia="仿宋" w:cs="仿宋"/>
          <w:color w:val="auto"/>
          <w:kern w:val="0"/>
          <w:sz w:val="32"/>
          <w:szCs w:val="32"/>
          <w:highlight w:val="none"/>
        </w:rPr>
        <w:t>元，公用经费控制率＝（实际支出公用经费总额／预算安排公用经费总额）×100%=（</w:t>
      </w:r>
      <w:r>
        <w:rPr>
          <w:rFonts w:hint="eastAsia" w:ascii="仿宋" w:hAnsi="仿宋" w:eastAsia="仿宋" w:cs="仿宋"/>
          <w:color w:val="auto"/>
          <w:kern w:val="0"/>
          <w:sz w:val="32"/>
          <w:szCs w:val="32"/>
          <w:highlight w:val="none"/>
          <w:lang w:val="en-US" w:eastAsia="zh-CN"/>
        </w:rPr>
        <w:t>1677.63</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1937.40</w:t>
      </w:r>
      <w:r>
        <w:rPr>
          <w:rFonts w:hint="eastAsia" w:ascii="仿宋" w:hAnsi="仿宋" w:eastAsia="仿宋" w:cs="仿宋"/>
          <w:color w:val="auto"/>
          <w:kern w:val="0"/>
          <w:sz w:val="32"/>
          <w:szCs w:val="32"/>
          <w:highlight w:val="none"/>
        </w:rPr>
        <w:t>)*100%=</w:t>
      </w:r>
      <w:r>
        <w:rPr>
          <w:rFonts w:hint="eastAsia" w:ascii="仿宋" w:hAnsi="仿宋" w:eastAsia="仿宋" w:cs="仿宋"/>
          <w:color w:val="auto"/>
          <w:kern w:val="0"/>
          <w:sz w:val="32"/>
          <w:szCs w:val="32"/>
          <w:highlight w:val="none"/>
          <w:lang w:val="en-US" w:eastAsia="zh-CN"/>
        </w:rPr>
        <w:t>86.59</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此项分值2分，得分</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5、“三公经费”控制率：本年度“三公经费”支出数决算报表显示金额为</w:t>
      </w:r>
      <w:r>
        <w:rPr>
          <w:rFonts w:hint="eastAsia" w:ascii="仿宋" w:hAnsi="仿宋" w:eastAsia="仿宋" w:cs="仿宋"/>
          <w:color w:val="000000"/>
          <w:kern w:val="0"/>
          <w:sz w:val="32"/>
          <w:szCs w:val="32"/>
          <w:highlight w:val="none"/>
          <w:lang w:val="en-US" w:eastAsia="zh-CN"/>
        </w:rPr>
        <w:t>0.32万</w:t>
      </w:r>
      <w:r>
        <w:rPr>
          <w:rFonts w:hint="eastAsia" w:ascii="仿宋" w:hAnsi="仿宋" w:eastAsia="仿宋" w:cs="仿宋"/>
          <w:color w:val="000000"/>
          <w:kern w:val="0"/>
          <w:sz w:val="32"/>
          <w:szCs w:val="32"/>
          <w:highlight w:val="none"/>
        </w:rPr>
        <w:t>元、预算安排数为</w:t>
      </w:r>
      <w:r>
        <w:rPr>
          <w:rFonts w:hint="eastAsia" w:ascii="仿宋" w:hAnsi="仿宋" w:eastAsia="仿宋" w:cs="仿宋"/>
          <w:color w:val="000000"/>
          <w:kern w:val="0"/>
          <w:sz w:val="32"/>
          <w:szCs w:val="32"/>
          <w:highlight w:val="none"/>
          <w:lang w:val="en-US" w:eastAsia="zh-CN"/>
        </w:rPr>
        <w:t>13.06万</w:t>
      </w:r>
      <w:r>
        <w:rPr>
          <w:rFonts w:hint="eastAsia" w:ascii="仿宋" w:hAnsi="仿宋" w:eastAsia="仿宋" w:cs="仿宋"/>
          <w:color w:val="000000"/>
          <w:kern w:val="0"/>
          <w:sz w:val="32"/>
          <w:szCs w:val="32"/>
          <w:highlight w:val="none"/>
        </w:rPr>
        <w:t>元，“三公经费”控制率＝（“三公经费”实际支出数／“三公经费”预算安排数）</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0.32</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13.06</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2.45</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1</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此项分值2分，得分2分。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rPr>
        <w:t>6、政府采购执行率：</w:t>
      </w:r>
      <w:r>
        <w:rPr>
          <w:rFonts w:hint="eastAsia" w:ascii="仿宋" w:hAnsi="仿宋" w:eastAsia="仿宋" w:cs="仿宋"/>
          <w:color w:val="000000"/>
          <w:kern w:val="0"/>
          <w:sz w:val="32"/>
          <w:szCs w:val="32"/>
          <w:highlight w:val="none"/>
          <w:lang w:eastAsia="zh-CN"/>
        </w:rPr>
        <w:t>2021</w:t>
      </w:r>
      <w:r>
        <w:rPr>
          <w:rFonts w:hint="eastAsia" w:ascii="仿宋" w:hAnsi="仿宋" w:eastAsia="仿宋" w:cs="仿宋"/>
          <w:color w:val="000000"/>
          <w:kern w:val="0"/>
          <w:sz w:val="32"/>
          <w:szCs w:val="32"/>
          <w:highlight w:val="none"/>
        </w:rPr>
        <w:t>年政府采购预算</w:t>
      </w:r>
      <w:r>
        <w:rPr>
          <w:rFonts w:hint="eastAsia" w:ascii="仿宋" w:hAnsi="仿宋" w:eastAsia="仿宋" w:cs="仿宋"/>
          <w:color w:val="000000"/>
          <w:kern w:val="0"/>
          <w:sz w:val="32"/>
          <w:szCs w:val="32"/>
          <w:highlight w:val="none"/>
          <w:lang w:val="en-US" w:eastAsia="zh-CN"/>
        </w:rPr>
        <w:t>2.40万</w:t>
      </w:r>
      <w:r>
        <w:rPr>
          <w:rFonts w:hint="eastAsia" w:ascii="仿宋" w:hAnsi="仿宋" w:eastAsia="仿宋" w:cs="仿宋"/>
          <w:color w:val="000000"/>
          <w:kern w:val="0"/>
          <w:sz w:val="32"/>
          <w:szCs w:val="32"/>
          <w:highlight w:val="none"/>
        </w:rPr>
        <w:t>元，实际政府采购金额</w:t>
      </w:r>
      <w:r>
        <w:rPr>
          <w:rFonts w:hint="eastAsia" w:ascii="仿宋" w:hAnsi="仿宋" w:eastAsia="仿宋" w:cs="仿宋"/>
          <w:color w:val="000000"/>
          <w:kern w:val="0"/>
          <w:sz w:val="32"/>
          <w:szCs w:val="32"/>
          <w:highlight w:val="none"/>
          <w:lang w:val="en-US" w:eastAsia="zh-CN"/>
        </w:rPr>
        <w:t>8.366万</w:t>
      </w:r>
      <w:r>
        <w:rPr>
          <w:rFonts w:hint="eastAsia" w:ascii="仿宋" w:hAnsi="仿宋" w:eastAsia="仿宋" w:cs="仿宋"/>
          <w:color w:val="000000"/>
          <w:kern w:val="0"/>
          <w:sz w:val="32"/>
          <w:szCs w:val="32"/>
          <w:highlight w:val="none"/>
        </w:rPr>
        <w:t>元 。政府采购执行率为=（预算执行数/预算数）</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bookmarkStart w:id="20" w:name="_GoBack"/>
      <w:bookmarkEnd w:id="20"/>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4.49</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32</w:t>
      </w:r>
      <w:r>
        <w:rPr>
          <w:rFonts w:hint="eastAsia" w:ascii="仿宋" w:hAnsi="仿宋" w:eastAsia="仿宋" w:cs="仿宋"/>
          <w:color w:val="000000"/>
          <w:kern w:val="0"/>
          <w:sz w:val="32"/>
          <w:szCs w:val="32"/>
          <w:highlight w:val="none"/>
        </w:rPr>
        <w:t>）=</w:t>
      </w:r>
      <w:r>
        <w:rPr>
          <w:rFonts w:hint="eastAsia" w:ascii="仿宋" w:hAnsi="仿宋" w:eastAsia="仿宋" w:cs="仿宋"/>
          <w:b w:val="0"/>
          <w:bCs/>
          <w:sz w:val="32"/>
          <w:szCs w:val="32"/>
          <w:highlight w:val="none"/>
          <w:lang w:val="en-US" w:eastAsia="zh-CN"/>
        </w:rPr>
        <w:t>14.03</w:t>
      </w:r>
      <w:r>
        <w:rPr>
          <w:rFonts w:hint="eastAsia" w:ascii="仿宋" w:hAnsi="仿宋" w:eastAsia="仿宋" w:cs="仿宋"/>
          <w:color w:val="000000"/>
          <w:kern w:val="0"/>
          <w:sz w:val="32"/>
          <w:szCs w:val="32"/>
          <w:highlight w:val="none"/>
        </w:rPr>
        <w:t>%＜1。该项分值2分，得分</w:t>
      </w:r>
      <w:r>
        <w:rPr>
          <w:rFonts w:hint="eastAsia" w:ascii="仿宋" w:hAnsi="仿宋" w:eastAsia="仿宋" w:cs="仿宋"/>
          <w:color w:val="000000"/>
          <w:kern w:val="0"/>
          <w:sz w:val="32"/>
          <w:szCs w:val="32"/>
          <w:highlight w:val="none"/>
          <w:lang w:val="en-US"/>
        </w:rPr>
        <w:t>=</w:t>
      </w:r>
      <w:r>
        <w:rPr>
          <w:rFonts w:hint="eastAsia" w:ascii="仿宋" w:hAnsi="仿宋" w:eastAsia="仿宋" w:cs="仿宋"/>
          <w:b w:val="0"/>
          <w:bCs/>
          <w:sz w:val="32"/>
          <w:szCs w:val="32"/>
          <w:highlight w:val="none"/>
          <w:lang w:val="en-US" w:eastAsia="zh-CN"/>
        </w:rPr>
        <w:t>14.03</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rPr>
        <w:t>*</w:t>
      </w:r>
      <w:r>
        <w:rPr>
          <w:rFonts w:hint="eastAsia" w:ascii="仿宋" w:hAnsi="仿宋" w:eastAsia="仿宋" w:cs="仿宋"/>
          <w:color w:val="000000"/>
          <w:kern w:val="0"/>
          <w:sz w:val="32"/>
          <w:szCs w:val="32"/>
          <w:highlight w:val="none"/>
        </w:rPr>
        <w:t>2</w:t>
      </w:r>
      <w:r>
        <w:rPr>
          <w:rFonts w:hint="eastAsia" w:ascii="仿宋" w:hAnsi="仿宋" w:eastAsia="仿宋" w:cs="仿宋"/>
          <w:color w:val="000000"/>
          <w:kern w:val="0"/>
          <w:sz w:val="32"/>
          <w:szCs w:val="32"/>
          <w:highlight w:val="none"/>
          <w:lang w:val="en-US"/>
        </w:rPr>
        <w:t>=</w:t>
      </w:r>
      <w:r>
        <w:rPr>
          <w:rFonts w:hint="eastAsia" w:ascii="仿宋" w:hAnsi="仿宋" w:eastAsia="仿宋" w:cs="仿宋"/>
          <w:color w:val="000000"/>
          <w:kern w:val="0"/>
          <w:sz w:val="32"/>
          <w:szCs w:val="32"/>
          <w:highlight w:val="none"/>
          <w:lang w:val="en-US" w:eastAsia="zh-CN"/>
        </w:rPr>
        <w:t>0.28</w:t>
      </w:r>
      <w:r>
        <w:rPr>
          <w:rFonts w:hint="eastAsia" w:ascii="仿宋" w:hAnsi="仿宋" w:eastAsia="仿宋" w:cs="仿宋"/>
          <w:color w:val="000000"/>
          <w:kern w:val="0"/>
          <w:sz w:val="32"/>
          <w:szCs w:val="32"/>
          <w:highlight w:val="none"/>
        </w:rPr>
        <w:t xml:space="preserve">分。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7、管理制度健全性：①已制定或具有预算资金管理办法、内部财务管理制度、会计核算制度等管理制度；②管理制度是合法、合规、完整；③</w:t>
      </w:r>
      <w:r>
        <w:rPr>
          <w:rFonts w:hint="eastAsia" w:ascii="仿宋" w:hAnsi="仿宋" w:eastAsia="仿宋" w:cs="仿宋"/>
          <w:color w:val="auto"/>
          <w:kern w:val="0"/>
          <w:sz w:val="32"/>
          <w:szCs w:val="32"/>
          <w:highlight w:val="none"/>
        </w:rPr>
        <w:t>管理制度</w:t>
      </w:r>
      <w:r>
        <w:rPr>
          <w:rFonts w:hint="eastAsia" w:ascii="仿宋" w:hAnsi="仿宋" w:eastAsia="仿宋" w:cs="仿宋"/>
          <w:color w:val="auto"/>
          <w:kern w:val="0"/>
          <w:sz w:val="32"/>
          <w:szCs w:val="32"/>
          <w:highlight w:val="none"/>
          <w:lang w:eastAsia="zh-CN"/>
        </w:rPr>
        <w:t>基本</w:t>
      </w:r>
      <w:r>
        <w:rPr>
          <w:rFonts w:hint="eastAsia" w:ascii="仿宋" w:hAnsi="仿宋" w:eastAsia="仿宋" w:cs="仿宋"/>
          <w:color w:val="auto"/>
          <w:kern w:val="0"/>
          <w:sz w:val="32"/>
          <w:szCs w:val="32"/>
          <w:highlight w:val="none"/>
        </w:rPr>
        <w:t>得到有效执行</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000000"/>
          <w:kern w:val="0"/>
          <w:sz w:val="32"/>
          <w:szCs w:val="32"/>
          <w:highlight w:val="none"/>
        </w:rPr>
        <w:t>④会计人员、机构符合规定设置；⑤会计基础工作健全；⑥会计档案合规。此项分值6分，得分</w:t>
      </w:r>
      <w:r>
        <w:rPr>
          <w:rFonts w:hint="eastAsia" w:ascii="仿宋" w:hAnsi="仿宋" w:eastAsia="仿宋" w:cs="仿宋"/>
          <w:color w:val="000000"/>
          <w:kern w:val="0"/>
          <w:sz w:val="32"/>
          <w:szCs w:val="32"/>
          <w:highlight w:val="none"/>
          <w:lang w:val="en-US" w:eastAsia="zh-CN"/>
        </w:rPr>
        <w:t>6</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kern w:val="0"/>
          <w:sz w:val="32"/>
          <w:szCs w:val="32"/>
          <w:highlight w:val="none"/>
          <w:lang w:val="en-US"/>
        </w:rPr>
      </w:pPr>
      <w:r>
        <w:rPr>
          <w:rFonts w:hint="eastAsia" w:ascii="仿宋" w:hAnsi="仿宋" w:eastAsia="仿宋" w:cs="仿宋"/>
          <w:kern w:val="0"/>
          <w:sz w:val="32"/>
          <w:szCs w:val="32"/>
          <w:highlight w:val="none"/>
        </w:rPr>
        <w:t>8、资金使用合规性：</w:t>
      </w:r>
      <w:r>
        <w:rPr>
          <w:rFonts w:hint="eastAsia" w:ascii="仿宋" w:hAnsi="仿宋" w:eastAsia="仿宋" w:cs="仿宋"/>
          <w:color w:val="000000"/>
          <w:kern w:val="0"/>
          <w:sz w:val="32"/>
          <w:szCs w:val="32"/>
          <w:lang w:val="en-US" w:eastAsia="zh-CN"/>
        </w:rPr>
        <w:t>①符合国家财经法规和财务管理制度规定以及有关预算支出管理办法的规定；②资金的拨付有完整的审批程序和手续；③预算支出的重大开支经过集体研究决策；④无截留、挪用、虚列支出、随意借用、大额现金支付等情况；⑤原始凭证的取得真实有效；⑥无超标准发放津补贴、奖金。</w:t>
      </w:r>
      <w:r>
        <w:rPr>
          <w:rFonts w:hint="eastAsia" w:ascii="仿宋" w:hAnsi="仿宋" w:eastAsia="仿宋" w:cs="仿宋"/>
          <w:color w:val="000000"/>
          <w:kern w:val="0"/>
          <w:sz w:val="32"/>
          <w:szCs w:val="32"/>
          <w:highlight w:val="none"/>
        </w:rPr>
        <w:t>此项分值</w:t>
      </w:r>
      <w:r>
        <w:rPr>
          <w:rFonts w:hint="eastAsia" w:ascii="仿宋" w:hAnsi="仿宋" w:eastAsia="仿宋" w:cs="仿宋"/>
          <w:color w:val="000000"/>
          <w:kern w:val="0"/>
          <w:sz w:val="32"/>
          <w:szCs w:val="32"/>
          <w:highlight w:val="none"/>
          <w:lang w:val="en-US" w:eastAsia="zh-CN"/>
        </w:rPr>
        <w:t>7</w:t>
      </w:r>
      <w:r>
        <w:rPr>
          <w:rFonts w:hint="eastAsia" w:ascii="仿宋" w:hAnsi="仿宋" w:eastAsia="仿宋" w:cs="仿宋"/>
          <w:color w:val="000000"/>
          <w:kern w:val="0"/>
          <w:sz w:val="32"/>
          <w:szCs w:val="32"/>
          <w:highlight w:val="none"/>
        </w:rPr>
        <w:t>分，得分</w:t>
      </w:r>
      <w:r>
        <w:rPr>
          <w:rFonts w:hint="eastAsia" w:ascii="仿宋" w:hAnsi="仿宋" w:eastAsia="仿宋" w:cs="仿宋"/>
          <w:color w:val="000000"/>
          <w:kern w:val="0"/>
          <w:sz w:val="32"/>
          <w:szCs w:val="32"/>
          <w:highlight w:val="none"/>
          <w:lang w:val="en-US" w:eastAsia="zh-CN"/>
        </w:rPr>
        <w:t>7</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9、预决算信息公开性：</w:t>
      </w:r>
      <w:r>
        <w:rPr>
          <w:rFonts w:hint="eastAsia" w:ascii="仿宋" w:hAnsi="仿宋" w:eastAsia="仿宋" w:cs="仿宋"/>
          <w:kern w:val="0"/>
          <w:sz w:val="32"/>
          <w:szCs w:val="32"/>
          <w:highlight w:val="none"/>
          <w:lang w:eastAsia="zh-CN"/>
        </w:rPr>
        <w:t>决算公开项目资金绩效报告</w:t>
      </w:r>
      <w:r>
        <w:rPr>
          <w:rFonts w:hint="eastAsia" w:ascii="仿宋" w:hAnsi="仿宋" w:eastAsia="仿宋" w:cs="仿宋"/>
          <w:kern w:val="0"/>
          <w:sz w:val="32"/>
          <w:szCs w:val="32"/>
          <w:highlight w:val="none"/>
          <w:lang w:val="en-US" w:eastAsia="zh-CN"/>
        </w:rPr>
        <w:t>准确.</w:t>
      </w:r>
      <w:r>
        <w:rPr>
          <w:rFonts w:hint="eastAsia" w:ascii="仿宋" w:hAnsi="仿宋" w:eastAsia="仿宋" w:cs="仿宋"/>
          <w:color w:val="auto"/>
          <w:kern w:val="0"/>
          <w:sz w:val="32"/>
          <w:szCs w:val="32"/>
          <w:highlight w:val="none"/>
        </w:rPr>
        <w:t>此项分值8分，得分</w:t>
      </w:r>
      <w:r>
        <w:rPr>
          <w:rFonts w:hint="eastAsia" w:ascii="仿宋" w:hAnsi="仿宋" w:eastAsia="仿宋" w:cs="仿宋"/>
          <w:color w:val="auto"/>
          <w:kern w:val="0"/>
          <w:sz w:val="32"/>
          <w:szCs w:val="32"/>
          <w:highlight w:val="none"/>
          <w:lang w:val="en-US" w:eastAsia="zh-CN"/>
        </w:rPr>
        <w:t>8</w:t>
      </w:r>
      <w:r>
        <w:rPr>
          <w:rFonts w:hint="eastAsia" w:ascii="仿宋" w:hAnsi="仿宋" w:eastAsia="仿宋" w:cs="仿宋"/>
          <w:color w:val="auto"/>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10、基础信息完善性：基础数据信息和会计信息资料真实、完整</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此项分值3分，得分</w:t>
      </w:r>
      <w:r>
        <w:rPr>
          <w:rFonts w:hint="eastAsia" w:ascii="仿宋" w:hAnsi="仿宋" w:eastAsia="仿宋" w:cs="仿宋"/>
          <w:color w:val="000000"/>
          <w:kern w:val="0"/>
          <w:sz w:val="32"/>
          <w:szCs w:val="32"/>
          <w:highlight w:val="none"/>
          <w:lang w:val="en-US" w:eastAsia="zh-CN"/>
        </w:rPr>
        <w:t>3</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11、非税收入管理：</w:t>
      </w:r>
      <w:r>
        <w:rPr>
          <w:rFonts w:hint="eastAsia" w:ascii="仿宋" w:hAnsi="仿宋" w:eastAsia="仿宋" w:cs="仿宋"/>
          <w:color w:val="000000"/>
          <w:kern w:val="0"/>
          <w:sz w:val="32"/>
          <w:szCs w:val="32"/>
          <w:highlight w:val="none"/>
          <w:lang w:eastAsia="zh-CN"/>
        </w:rPr>
        <w:t>2021</w:t>
      </w:r>
      <w:r>
        <w:rPr>
          <w:rFonts w:hint="eastAsia" w:ascii="仿宋" w:hAnsi="仿宋" w:eastAsia="仿宋" w:cs="仿宋"/>
          <w:color w:val="000000"/>
          <w:kern w:val="0"/>
          <w:sz w:val="32"/>
          <w:szCs w:val="32"/>
          <w:highlight w:val="none"/>
        </w:rPr>
        <w:t>年度无非税收入。此项分值2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分，得分2分。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12、资产管理制度健全性：</w:t>
      </w:r>
      <w:r>
        <w:rPr>
          <w:rFonts w:hint="eastAsia" w:ascii="仿宋" w:hAnsi="仿宋" w:eastAsia="仿宋" w:cs="仿宋"/>
          <w:color w:val="000000"/>
          <w:kern w:val="0"/>
          <w:sz w:val="32"/>
          <w:szCs w:val="32"/>
          <w:highlight w:val="none"/>
          <w:lang w:eastAsia="zh-CN"/>
        </w:rPr>
        <w:t>未制定流动资产管理制度，扣</w:t>
      </w:r>
      <w:r>
        <w:rPr>
          <w:rFonts w:hint="eastAsia" w:ascii="仿宋" w:hAnsi="仿宋" w:eastAsia="仿宋" w:cs="仿宋"/>
          <w:color w:val="000000"/>
          <w:kern w:val="0"/>
          <w:sz w:val="32"/>
          <w:szCs w:val="32"/>
          <w:highlight w:val="none"/>
          <w:lang w:val="en-US" w:eastAsia="zh-CN"/>
        </w:rPr>
        <w:t>1分</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此项分值2分，得分</w:t>
      </w: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13、资产管理安全性：资产保存完整、资产配置合理、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eastAsia="zh-CN"/>
        </w:rPr>
        <w:t>未曾处置过资产，</w:t>
      </w:r>
      <w:r>
        <w:rPr>
          <w:rFonts w:hint="eastAsia" w:ascii="仿宋" w:hAnsi="仿宋" w:eastAsia="仿宋" w:cs="仿宋"/>
          <w:color w:val="000000"/>
          <w:kern w:val="0"/>
          <w:sz w:val="32"/>
          <w:szCs w:val="32"/>
          <w:highlight w:val="none"/>
        </w:rPr>
        <w:t>账实账卡、账账、账表（决算报表等）数量相符、按标准购置固定资产</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auto"/>
          <w:kern w:val="0"/>
          <w:sz w:val="32"/>
          <w:szCs w:val="32"/>
          <w:highlight w:val="none"/>
        </w:rPr>
        <w:t>未执行资产管理制度中的定期盘点的要求，扣</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分</w:t>
      </w:r>
      <w:r>
        <w:rPr>
          <w:rFonts w:hint="eastAsia" w:ascii="仿宋" w:hAnsi="仿宋" w:eastAsia="仿宋" w:cs="仿宋"/>
          <w:b w:val="0"/>
          <w:bCs/>
          <w:color w:val="auto"/>
          <w:kern w:val="0"/>
          <w:sz w:val="32"/>
          <w:szCs w:val="32"/>
          <w:highlight w:val="none"/>
        </w:rPr>
        <w:t>。</w:t>
      </w:r>
      <w:r>
        <w:rPr>
          <w:rFonts w:hint="eastAsia" w:ascii="仿宋" w:hAnsi="仿宋" w:eastAsia="仿宋" w:cs="仿宋"/>
          <w:color w:val="000000"/>
          <w:kern w:val="0"/>
          <w:sz w:val="32"/>
          <w:szCs w:val="32"/>
          <w:highlight w:val="none"/>
        </w:rPr>
        <w:t>此项分值6分，得分</w:t>
      </w:r>
      <w:r>
        <w:rPr>
          <w:rFonts w:hint="eastAsia" w:ascii="仿宋" w:hAnsi="仿宋" w:eastAsia="仿宋" w:cs="仿宋"/>
          <w:color w:val="000000"/>
          <w:kern w:val="0"/>
          <w:sz w:val="32"/>
          <w:szCs w:val="32"/>
          <w:highlight w:val="none"/>
          <w:lang w:val="en-US" w:eastAsia="zh-CN"/>
        </w:rPr>
        <w:t>4</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14、固定资产利用率：固定资产利用率＝（实际在用固定资产总额／所有固定资产总额）</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395.60</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395.60*</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100%。</w:t>
      </w:r>
      <w:r>
        <w:rPr>
          <w:rFonts w:hint="eastAsia" w:ascii="仿宋" w:hAnsi="仿宋" w:eastAsia="仿宋" w:cs="仿宋"/>
          <w:color w:val="000000"/>
          <w:kern w:val="0"/>
          <w:sz w:val="32"/>
          <w:szCs w:val="32"/>
          <w:highlight w:val="none"/>
        </w:rPr>
        <w:t>此项分值2分，得分</w:t>
      </w:r>
      <w:r>
        <w:rPr>
          <w:rFonts w:hint="eastAsia" w:ascii="仿宋" w:hAnsi="仿宋" w:eastAsia="仿宋" w:cs="仿宋"/>
          <w:color w:val="000000"/>
          <w:kern w:val="0"/>
          <w:sz w:val="32"/>
          <w:szCs w:val="32"/>
          <w:highlight w:val="none"/>
          <w:lang w:val="en-US" w:eastAsia="zh-CN"/>
        </w:rPr>
        <w:t>100%*2=2</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hint="eastAsia" w:ascii="仿宋" w:hAnsi="仿宋" w:eastAsia="仿宋" w:cs="仿宋"/>
          <w:color w:val="000000"/>
          <w:kern w:val="0"/>
          <w:sz w:val="32"/>
          <w:szCs w:val="32"/>
          <w:highlight w:val="none"/>
        </w:rPr>
      </w:pPr>
      <w:r>
        <w:rPr>
          <w:rFonts w:hint="eastAsia" w:ascii="黑体" w:hAnsi="黑体" w:eastAsia="黑体" w:cs="黑体"/>
          <w:color w:val="000000"/>
          <w:kern w:val="0"/>
          <w:sz w:val="32"/>
          <w:szCs w:val="32"/>
          <w:highlight w:val="none"/>
        </w:rPr>
        <w:t>三、产出</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1、部门整体工作质量：市委、市政府绩效效考核评估结果“</w:t>
      </w:r>
      <w:r>
        <w:rPr>
          <w:rFonts w:hint="eastAsia" w:ascii="仿宋" w:hAnsi="仿宋" w:eastAsia="仿宋" w:cs="仿宋"/>
          <w:color w:val="000000"/>
          <w:kern w:val="0"/>
          <w:sz w:val="32"/>
          <w:szCs w:val="32"/>
          <w:highlight w:val="none"/>
          <w:lang w:val="en-US" w:eastAsia="zh-CN"/>
        </w:rPr>
        <w:t>良好</w:t>
      </w:r>
      <w:r>
        <w:rPr>
          <w:rFonts w:hint="eastAsia" w:ascii="仿宋" w:hAnsi="仿宋" w:eastAsia="仿宋" w:cs="仿宋"/>
          <w:color w:val="000000"/>
          <w:kern w:val="0"/>
          <w:sz w:val="32"/>
          <w:szCs w:val="32"/>
          <w:highlight w:val="none"/>
        </w:rPr>
        <w:t>”，此项分值6分，得分</w:t>
      </w:r>
      <w:r>
        <w:rPr>
          <w:rFonts w:hint="eastAsia" w:ascii="仿宋" w:hAnsi="仿宋" w:eastAsia="仿宋" w:cs="仿宋"/>
          <w:color w:val="000000"/>
          <w:kern w:val="0"/>
          <w:sz w:val="32"/>
          <w:szCs w:val="32"/>
          <w:highlight w:val="none"/>
          <w:lang w:val="en-US" w:eastAsia="zh-CN"/>
        </w:rPr>
        <w:t>4</w:t>
      </w:r>
      <w:r>
        <w:rPr>
          <w:rFonts w:hint="eastAsia" w:ascii="仿宋" w:hAnsi="仿宋" w:eastAsia="仿宋" w:cs="仿宋"/>
          <w:color w:val="000000"/>
          <w:kern w:val="0"/>
          <w:sz w:val="32"/>
          <w:szCs w:val="32"/>
          <w:highlight w:val="none"/>
        </w:rPr>
        <w:t>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2、实际完成率：</w:t>
      </w:r>
      <w:r>
        <w:rPr>
          <w:rFonts w:hint="eastAsia" w:ascii="仿宋" w:hAnsi="仿宋" w:eastAsia="仿宋" w:cs="仿宋"/>
          <w:color w:val="000000"/>
          <w:kern w:val="0"/>
          <w:sz w:val="32"/>
          <w:szCs w:val="32"/>
          <w:highlight w:val="none"/>
          <w:lang w:val="en-US" w:eastAsia="zh-CN"/>
        </w:rPr>
        <w:t>2021年部门</w:t>
      </w:r>
      <w:r>
        <w:rPr>
          <w:rFonts w:hint="eastAsia" w:ascii="仿宋" w:hAnsi="仿宋" w:eastAsia="仿宋" w:cs="仿宋"/>
          <w:b w:val="0"/>
          <w:bCs w:val="0"/>
          <w:color w:val="000000"/>
          <w:kern w:val="0"/>
          <w:sz w:val="32"/>
          <w:szCs w:val="32"/>
          <w:highlight w:val="none"/>
        </w:rPr>
        <w:t>履行职责</w:t>
      </w:r>
      <w:r>
        <w:rPr>
          <w:rFonts w:hint="eastAsia" w:ascii="仿宋" w:hAnsi="仿宋" w:eastAsia="仿宋" w:cs="仿宋"/>
          <w:color w:val="000000"/>
          <w:kern w:val="0"/>
          <w:sz w:val="32"/>
          <w:szCs w:val="32"/>
          <w:highlight w:val="none"/>
          <w:lang w:eastAsia="zh-CN"/>
        </w:rPr>
        <w:t>计划工作任务</w:t>
      </w:r>
      <w:r>
        <w:rPr>
          <w:rFonts w:hint="eastAsia" w:ascii="仿宋" w:hAnsi="仿宋" w:eastAsia="仿宋" w:cs="仿宋"/>
          <w:color w:val="000000"/>
          <w:kern w:val="0"/>
          <w:sz w:val="32"/>
          <w:szCs w:val="32"/>
          <w:highlight w:val="none"/>
          <w:lang w:val="en-US" w:eastAsia="zh-CN"/>
        </w:rPr>
        <w:t>总计为5个，</w:t>
      </w:r>
      <w:r>
        <w:rPr>
          <w:rFonts w:hint="eastAsia" w:ascii="仿宋" w:hAnsi="仿宋" w:eastAsia="仿宋" w:cs="仿宋"/>
          <w:color w:val="000000"/>
          <w:kern w:val="0"/>
          <w:sz w:val="32"/>
          <w:szCs w:val="32"/>
          <w:highlight w:val="none"/>
        </w:rPr>
        <w:t>实际完成工作</w:t>
      </w:r>
      <w:r>
        <w:rPr>
          <w:rFonts w:hint="eastAsia" w:ascii="仿宋" w:hAnsi="仿宋" w:eastAsia="仿宋" w:cs="仿宋"/>
          <w:color w:val="000000"/>
          <w:kern w:val="0"/>
          <w:sz w:val="32"/>
          <w:szCs w:val="32"/>
          <w:highlight w:val="none"/>
          <w:lang w:eastAsia="zh-CN"/>
        </w:rPr>
        <w:t>任务</w:t>
      </w:r>
      <w:r>
        <w:rPr>
          <w:rFonts w:hint="eastAsia" w:ascii="仿宋" w:hAnsi="仿宋" w:eastAsia="仿宋" w:cs="仿宋"/>
          <w:color w:val="000000"/>
          <w:kern w:val="0"/>
          <w:sz w:val="32"/>
          <w:szCs w:val="32"/>
          <w:highlight w:val="none"/>
        </w:rPr>
        <w:t>数</w:t>
      </w:r>
      <w:r>
        <w:rPr>
          <w:rFonts w:hint="eastAsia" w:ascii="仿宋" w:hAnsi="仿宋" w:eastAsia="仿宋" w:cs="仿宋"/>
          <w:color w:val="000000"/>
          <w:kern w:val="0"/>
          <w:sz w:val="32"/>
          <w:szCs w:val="32"/>
          <w:highlight w:val="none"/>
          <w:lang w:val="en-US" w:eastAsia="zh-CN"/>
        </w:rPr>
        <w:t>5项。实际完成率=（5/5）×100%=100%。</w:t>
      </w:r>
      <w:r>
        <w:rPr>
          <w:rFonts w:hint="eastAsia" w:ascii="仿宋" w:hAnsi="仿宋" w:eastAsia="仿宋" w:cs="仿宋"/>
          <w:color w:val="000000"/>
          <w:kern w:val="0"/>
          <w:sz w:val="32"/>
          <w:szCs w:val="32"/>
          <w:highlight w:val="none"/>
        </w:rPr>
        <w:t>此项分值4分，得分4分。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3、完成及时率：</w:t>
      </w:r>
      <w:r>
        <w:rPr>
          <w:rFonts w:hint="eastAsia" w:ascii="仿宋" w:hAnsi="仿宋" w:eastAsia="仿宋" w:cs="仿宋"/>
          <w:color w:val="000000"/>
          <w:kern w:val="0"/>
          <w:sz w:val="32"/>
          <w:szCs w:val="32"/>
          <w:highlight w:val="none"/>
          <w:lang w:val="en-US" w:eastAsia="zh-CN"/>
        </w:rPr>
        <w:t>2021年计划</w:t>
      </w:r>
      <w:r>
        <w:rPr>
          <w:rFonts w:hint="eastAsia" w:ascii="仿宋" w:hAnsi="仿宋" w:eastAsia="仿宋" w:cs="仿宋"/>
          <w:b w:val="0"/>
          <w:bCs w:val="0"/>
          <w:color w:val="000000"/>
          <w:kern w:val="0"/>
          <w:sz w:val="32"/>
          <w:szCs w:val="32"/>
          <w:highlight w:val="none"/>
          <w:lang w:eastAsia="zh-CN"/>
        </w:rPr>
        <w:t>工作任务</w:t>
      </w:r>
      <w:r>
        <w:rPr>
          <w:rFonts w:hint="eastAsia" w:ascii="仿宋" w:hAnsi="仿宋" w:eastAsia="仿宋" w:cs="仿宋"/>
          <w:b w:val="0"/>
          <w:bCs w:val="0"/>
          <w:color w:val="000000"/>
          <w:kern w:val="0"/>
          <w:sz w:val="32"/>
          <w:szCs w:val="32"/>
          <w:highlight w:val="none"/>
          <w:lang w:val="en-US" w:eastAsia="zh-CN"/>
        </w:rPr>
        <w:t>5项，在2021年全部完成</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b w:val="0"/>
          <w:bCs w:val="0"/>
          <w:color w:val="000000"/>
          <w:kern w:val="0"/>
          <w:sz w:val="32"/>
          <w:szCs w:val="32"/>
          <w:highlight w:val="none"/>
          <w:lang w:val="en-US" w:eastAsia="zh-CN"/>
        </w:rPr>
        <w:t>。完成及时率=（</w:t>
      </w:r>
      <w:r>
        <w:rPr>
          <w:rFonts w:hint="eastAsia" w:ascii="仿宋" w:hAnsi="仿宋" w:eastAsia="仿宋" w:cs="仿宋"/>
          <w:color w:val="000000"/>
          <w:kern w:val="0"/>
          <w:sz w:val="32"/>
          <w:szCs w:val="32"/>
          <w:highlight w:val="none"/>
          <w:lang w:val="en-US" w:eastAsia="zh-CN"/>
        </w:rPr>
        <w:t>5/5</w:t>
      </w:r>
      <w:r>
        <w:rPr>
          <w:rFonts w:hint="eastAsia" w:ascii="仿宋" w:hAnsi="仿宋" w:eastAsia="仿宋" w:cs="仿宋"/>
          <w:b w:val="0"/>
          <w:bCs w:val="0"/>
          <w:color w:val="000000"/>
          <w:kern w:val="0"/>
          <w:sz w:val="32"/>
          <w:szCs w:val="32"/>
          <w:highlight w:val="none"/>
          <w:lang w:val="en-US" w:eastAsia="zh-CN"/>
        </w:rPr>
        <w:t>）×100%=100%。</w:t>
      </w:r>
      <w:r>
        <w:rPr>
          <w:rFonts w:hint="eastAsia" w:ascii="仿宋" w:hAnsi="仿宋" w:eastAsia="仿宋" w:cs="仿宋"/>
          <w:color w:val="000000"/>
          <w:kern w:val="0"/>
          <w:sz w:val="32"/>
          <w:szCs w:val="32"/>
          <w:highlight w:val="none"/>
        </w:rPr>
        <w:t>此项分值4分，得分4分。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4、质量达标率：</w:t>
      </w:r>
      <w:r>
        <w:rPr>
          <w:rFonts w:hint="eastAsia" w:ascii="仿宋" w:hAnsi="仿宋" w:eastAsia="仿宋" w:cs="仿宋"/>
          <w:color w:val="000000"/>
          <w:kern w:val="0"/>
          <w:sz w:val="32"/>
          <w:szCs w:val="32"/>
          <w:highlight w:val="none"/>
          <w:lang w:eastAsia="zh-CN"/>
        </w:rPr>
        <w:t>绩效目标设置质量指标的标准值为完成全部工作</w:t>
      </w:r>
      <w:r>
        <w:rPr>
          <w:rFonts w:hint="eastAsia" w:ascii="仿宋" w:hAnsi="仿宋" w:eastAsia="仿宋" w:cs="仿宋"/>
          <w:color w:val="000000"/>
          <w:kern w:val="0"/>
          <w:sz w:val="32"/>
          <w:szCs w:val="32"/>
          <w:highlight w:val="none"/>
          <w:lang w:val="en-US" w:eastAsia="zh-CN"/>
        </w:rPr>
        <w:t>，质量达标率=（质量达标实际工作数/计划工作数）×100%=（5/5）×100%=100%；</w:t>
      </w:r>
      <w:r>
        <w:rPr>
          <w:rFonts w:hint="eastAsia" w:ascii="仿宋" w:hAnsi="仿宋" w:eastAsia="仿宋" w:cs="仿宋"/>
          <w:color w:val="000000"/>
          <w:kern w:val="0"/>
          <w:sz w:val="32"/>
          <w:szCs w:val="32"/>
          <w:highlight w:val="none"/>
        </w:rPr>
        <w:t xml:space="preserve">此项分值4分，得分4分。 </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5、重点工作办结率：</w:t>
      </w:r>
      <w:r>
        <w:rPr>
          <w:rFonts w:hint="eastAsia" w:ascii="仿宋" w:hAnsi="仿宋" w:eastAsia="仿宋" w:cs="仿宋"/>
          <w:color w:val="000000"/>
          <w:kern w:val="0"/>
          <w:sz w:val="32"/>
          <w:szCs w:val="32"/>
          <w:highlight w:val="none"/>
          <w:lang w:eastAsia="zh-CN"/>
        </w:rPr>
        <w:t>2021</w:t>
      </w:r>
      <w:r>
        <w:rPr>
          <w:rFonts w:hint="eastAsia" w:ascii="仿宋" w:hAnsi="仿宋" w:eastAsia="仿宋" w:cs="仿宋"/>
          <w:color w:val="000000"/>
          <w:kern w:val="0"/>
          <w:sz w:val="32"/>
          <w:szCs w:val="32"/>
          <w:highlight w:val="none"/>
        </w:rPr>
        <w:t>年</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个</w:t>
      </w:r>
      <w:r>
        <w:rPr>
          <w:rFonts w:hint="eastAsia" w:ascii="仿宋" w:hAnsi="仿宋" w:eastAsia="仿宋" w:cs="仿宋"/>
          <w:color w:val="000000"/>
          <w:kern w:val="0"/>
          <w:sz w:val="32"/>
          <w:szCs w:val="32"/>
          <w:highlight w:val="none"/>
          <w:lang w:eastAsia="zh-CN"/>
        </w:rPr>
        <w:t>重点</w:t>
      </w:r>
      <w:r>
        <w:rPr>
          <w:rFonts w:hint="eastAsia" w:ascii="仿宋" w:hAnsi="仿宋" w:eastAsia="仿宋" w:cs="仿宋"/>
          <w:color w:val="000000"/>
          <w:kern w:val="0"/>
          <w:sz w:val="32"/>
          <w:szCs w:val="32"/>
          <w:highlight w:val="none"/>
        </w:rPr>
        <w:t>任务</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1个是城市协管员工作、1个是巡逻车运行工作；已完成以上两项重点工作任务，重点工作办结率=（2/2）×100%=100%。</w:t>
      </w:r>
      <w:r>
        <w:rPr>
          <w:rFonts w:hint="eastAsia" w:ascii="仿宋" w:hAnsi="仿宋" w:eastAsia="仿宋" w:cs="仿宋"/>
          <w:color w:val="000000"/>
          <w:kern w:val="0"/>
          <w:sz w:val="32"/>
          <w:szCs w:val="32"/>
          <w:highlight w:val="none"/>
        </w:rPr>
        <w:t>此项分值4分，得分4分。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 w:hAnsi="仿宋" w:eastAsia="仿宋" w:cs="仿宋"/>
          <w:color w:val="000000"/>
          <w:kern w:val="0"/>
          <w:sz w:val="32"/>
          <w:szCs w:val="32"/>
          <w:highlight w:val="none"/>
        </w:rPr>
      </w:pPr>
      <w:r>
        <w:rPr>
          <w:rFonts w:hint="eastAsia" w:ascii="黑体" w:hAnsi="黑体" w:eastAsia="黑体"/>
          <w:color w:val="000000"/>
          <w:kern w:val="0"/>
          <w:sz w:val="32"/>
          <w:szCs w:val="32"/>
          <w:highlight w:val="none"/>
        </w:rPr>
        <w:t>四、效果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w:t>
      </w:r>
      <w:r>
        <w:rPr>
          <w:rFonts w:hint="eastAsia" w:ascii="仿宋" w:hAnsi="仿宋" w:eastAsia="仿宋" w:cs="仿宋"/>
          <w:color w:val="auto"/>
          <w:kern w:val="0"/>
          <w:sz w:val="32"/>
          <w:szCs w:val="32"/>
          <w:highlight w:val="none"/>
        </w:rPr>
        <w:t>经济、社会效益：</w:t>
      </w:r>
      <w:r>
        <w:rPr>
          <w:rFonts w:hint="eastAsia" w:ascii="仿宋" w:hAnsi="仿宋" w:eastAsia="仿宋" w:cs="仿宋"/>
          <w:color w:val="auto"/>
          <w:kern w:val="0"/>
          <w:sz w:val="32"/>
          <w:szCs w:val="32"/>
          <w:highlight w:val="none"/>
          <w:lang w:eastAsia="zh-CN"/>
        </w:rPr>
        <w:t>积极引导、支持民营企业发展，增强企业竞争力，服务大局，助力经济发展。</w:t>
      </w:r>
      <w:r>
        <w:rPr>
          <w:rFonts w:hint="eastAsia" w:ascii="仿宋" w:hAnsi="仿宋" w:eastAsia="仿宋" w:cs="仿宋"/>
          <w:color w:val="auto"/>
          <w:kern w:val="0"/>
          <w:sz w:val="32"/>
          <w:szCs w:val="32"/>
          <w:highlight w:val="none"/>
        </w:rPr>
        <w:t xml:space="preserve">此项分值8分，得分8分。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rPr>
        <w:t>2、社会公众或服务对象满意度：发放</w:t>
      </w:r>
      <w:r>
        <w:rPr>
          <w:rFonts w:hint="eastAsia" w:ascii="仿宋" w:hAnsi="仿宋" w:eastAsia="仿宋" w:cs="仿宋"/>
          <w:color w:val="000000"/>
          <w:kern w:val="0"/>
          <w:sz w:val="32"/>
          <w:szCs w:val="32"/>
          <w:highlight w:val="none"/>
          <w:lang w:val="en-US" w:eastAsia="zh-CN"/>
        </w:rPr>
        <w:t>20份</w:t>
      </w:r>
      <w:r>
        <w:rPr>
          <w:rFonts w:hint="eastAsia" w:ascii="仿宋" w:hAnsi="仿宋" w:eastAsia="仿宋" w:cs="仿宋"/>
          <w:color w:val="000000"/>
          <w:kern w:val="0"/>
          <w:sz w:val="32"/>
          <w:szCs w:val="32"/>
          <w:highlight w:val="none"/>
        </w:rPr>
        <w:t>满意度问卷调查，共14道问卷题，满意率</w:t>
      </w:r>
      <w:r>
        <w:rPr>
          <w:rFonts w:hint="eastAsia" w:ascii="仿宋" w:hAnsi="仿宋" w:eastAsia="仿宋" w:cs="仿宋"/>
          <w:color w:val="000000"/>
          <w:kern w:val="0"/>
          <w:sz w:val="32"/>
          <w:szCs w:val="32"/>
          <w:highlight w:val="none"/>
          <w:lang w:val="en-US" w:eastAsia="zh-CN"/>
        </w:rPr>
        <w:t>95%。</w:t>
      </w:r>
      <w:r>
        <w:rPr>
          <w:rFonts w:hint="eastAsia" w:ascii="仿宋" w:hAnsi="仿宋" w:eastAsia="仿宋" w:cs="仿宋"/>
          <w:color w:val="000000"/>
          <w:kern w:val="0"/>
          <w:sz w:val="32"/>
          <w:szCs w:val="32"/>
          <w:highlight w:val="none"/>
          <w:lang w:eastAsia="zh-CN"/>
        </w:rPr>
        <w:t>此项分值</w:t>
      </w:r>
      <w:r>
        <w:rPr>
          <w:rFonts w:hint="eastAsia" w:ascii="仿宋" w:hAnsi="仿宋" w:eastAsia="仿宋" w:cs="仿宋"/>
          <w:color w:val="000000"/>
          <w:kern w:val="0"/>
          <w:sz w:val="32"/>
          <w:szCs w:val="32"/>
          <w:highlight w:val="none"/>
          <w:lang w:val="en-US" w:eastAsia="zh-CN"/>
        </w:rPr>
        <w:t>8分，得分7.6分。</w:t>
      </w:r>
    </w:p>
    <w:p>
      <w:pPr>
        <w:pStyle w:val="2"/>
        <w:rPr>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hint="eastAsia" w:ascii="仿宋" w:hAnsi="仿宋" w:eastAsia="仿宋" w:cs="仿宋"/>
          <w:color w:val="000000"/>
          <w:kern w:val="0"/>
          <w:sz w:val="32"/>
          <w:szCs w:val="32"/>
          <w:highlight w:val="none"/>
        </w:rPr>
      </w:pPr>
      <w:r>
        <w:rPr>
          <w:rFonts w:hint="eastAsia" w:ascii="黑体" w:hAnsi="黑体" w:eastAsia="黑体" w:cs="黑体"/>
          <w:color w:val="000000"/>
          <w:kern w:val="0"/>
          <w:sz w:val="32"/>
          <w:szCs w:val="32"/>
          <w:highlight w:val="none"/>
        </w:rPr>
        <w:t xml:space="preserve">                    </w:t>
      </w:r>
      <w:r>
        <w:rPr>
          <w:rFonts w:hint="eastAsia" w:ascii="仿宋" w:hAnsi="仿宋" w:eastAsia="仿宋" w:cs="仿宋"/>
          <w:b/>
          <w:bCs/>
          <w:color w:val="000000"/>
          <w:kern w:val="0"/>
          <w:sz w:val="32"/>
          <w:szCs w:val="32"/>
          <w:highlight w:val="none"/>
        </w:rPr>
        <w:t xml:space="preserve"> </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b/>
          <w:bCs/>
          <w:color w:val="000000"/>
          <w:kern w:val="0"/>
          <w:sz w:val="32"/>
          <w:szCs w:val="32"/>
          <w:highlight w:val="none"/>
        </w:rPr>
        <w:t>总得分：</w:t>
      </w:r>
      <w:r>
        <w:rPr>
          <w:rFonts w:hint="eastAsia" w:ascii="仿宋" w:hAnsi="仿宋" w:eastAsia="仿宋" w:cs="仿宋"/>
          <w:b/>
          <w:bCs/>
          <w:color w:val="000000"/>
          <w:kern w:val="0"/>
          <w:sz w:val="32"/>
          <w:szCs w:val="32"/>
          <w:highlight w:val="none"/>
          <w:lang w:val="en-US" w:eastAsia="zh-CN"/>
        </w:rPr>
        <w:t>88.63</w:t>
      </w:r>
      <w:r>
        <w:rPr>
          <w:rFonts w:hint="eastAsia" w:ascii="仿宋" w:hAnsi="仿宋" w:eastAsia="仿宋" w:cs="仿宋"/>
          <w:b/>
          <w:bCs/>
          <w:color w:val="000000"/>
          <w:kern w:val="0"/>
          <w:sz w:val="32"/>
          <w:szCs w:val="32"/>
          <w:highlight w:val="none"/>
        </w:rPr>
        <w:t xml:space="preserve">分   </w:t>
      </w:r>
    </w:p>
    <w:p>
      <w:pPr>
        <w:widowControl/>
        <w:spacing w:line="600" w:lineRule="exact"/>
        <w:ind w:firstLine="645"/>
        <w:jc w:val="left"/>
        <w:rPr>
          <w:rFonts w:eastAsia="仿宋_GB2312"/>
          <w:sz w:val="32"/>
          <w:szCs w:val="32"/>
          <w:highlight w:val="none"/>
        </w:rPr>
      </w:pPr>
    </w:p>
    <w:p>
      <w:pPr>
        <w:pStyle w:val="2"/>
        <w:rPr>
          <w:rFonts w:ascii="仿宋" w:hAnsi="仿宋" w:eastAsia="仿宋" w:cs="仿宋"/>
          <w:color w:val="000000"/>
          <w:kern w:val="0"/>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A72D6"/>
    <w:multiLevelType w:val="singleLevel"/>
    <w:tmpl w:val="3D4A72D6"/>
    <w:lvl w:ilvl="0" w:tentative="0">
      <w:start w:val="2"/>
      <w:numFmt w:val="decimal"/>
      <w:suff w:val="nothing"/>
      <w:lvlText w:val="（%1）"/>
      <w:lvlJc w:val="left"/>
    </w:lvl>
  </w:abstractNum>
  <w:abstractNum w:abstractNumId="1">
    <w:nsid w:val="43B8C9E4"/>
    <w:multiLevelType w:val="singleLevel"/>
    <w:tmpl w:val="43B8C9E4"/>
    <w:lvl w:ilvl="0" w:tentative="0">
      <w:start w:val="2"/>
      <w:numFmt w:val="decimal"/>
      <w:suff w:val="nothing"/>
      <w:lvlText w:val="%1、"/>
      <w:lvlJc w:val="left"/>
      <w:pPr>
        <w:ind w:left="-1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jNhYTlmMWMwMTUwMzM1MDZhZGFiYzAzOWNiNWYifQ=="/>
  </w:docVars>
  <w:rsids>
    <w:rsidRoot w:val="00172A27"/>
    <w:rsid w:val="00172A27"/>
    <w:rsid w:val="001C64C1"/>
    <w:rsid w:val="00204FBC"/>
    <w:rsid w:val="003D08A8"/>
    <w:rsid w:val="00430FD7"/>
    <w:rsid w:val="00451118"/>
    <w:rsid w:val="00461B74"/>
    <w:rsid w:val="005E1B4A"/>
    <w:rsid w:val="00602054"/>
    <w:rsid w:val="008558D6"/>
    <w:rsid w:val="00973DC8"/>
    <w:rsid w:val="00A771B4"/>
    <w:rsid w:val="00B8034D"/>
    <w:rsid w:val="00B87A8B"/>
    <w:rsid w:val="00D71A64"/>
    <w:rsid w:val="00D74F62"/>
    <w:rsid w:val="00E9243E"/>
    <w:rsid w:val="00EE2BC9"/>
    <w:rsid w:val="00F66F31"/>
    <w:rsid w:val="01763BCE"/>
    <w:rsid w:val="01BB7833"/>
    <w:rsid w:val="02873BB9"/>
    <w:rsid w:val="02EB05EB"/>
    <w:rsid w:val="03546191"/>
    <w:rsid w:val="04247911"/>
    <w:rsid w:val="043E429C"/>
    <w:rsid w:val="04467709"/>
    <w:rsid w:val="044C6E68"/>
    <w:rsid w:val="04BD1B14"/>
    <w:rsid w:val="04EB6681"/>
    <w:rsid w:val="04F44B3B"/>
    <w:rsid w:val="04FE23A5"/>
    <w:rsid w:val="05096B07"/>
    <w:rsid w:val="05394B20"/>
    <w:rsid w:val="058C1932"/>
    <w:rsid w:val="065A3ABE"/>
    <w:rsid w:val="06604E4C"/>
    <w:rsid w:val="070D50D4"/>
    <w:rsid w:val="07854B6B"/>
    <w:rsid w:val="08485B98"/>
    <w:rsid w:val="09000221"/>
    <w:rsid w:val="096B1B3E"/>
    <w:rsid w:val="096F5AD2"/>
    <w:rsid w:val="097D745B"/>
    <w:rsid w:val="097E5D15"/>
    <w:rsid w:val="09A17C56"/>
    <w:rsid w:val="09AF207D"/>
    <w:rsid w:val="09DE4A06"/>
    <w:rsid w:val="0A1646EB"/>
    <w:rsid w:val="0A381C03"/>
    <w:rsid w:val="0A382368"/>
    <w:rsid w:val="0A80786B"/>
    <w:rsid w:val="0A856C30"/>
    <w:rsid w:val="0ADB2CF4"/>
    <w:rsid w:val="0AE93662"/>
    <w:rsid w:val="0B8841D6"/>
    <w:rsid w:val="0BBF3788"/>
    <w:rsid w:val="0CA710DF"/>
    <w:rsid w:val="0CF06F2A"/>
    <w:rsid w:val="0D046532"/>
    <w:rsid w:val="0D2210AE"/>
    <w:rsid w:val="0D5D516B"/>
    <w:rsid w:val="0E107158"/>
    <w:rsid w:val="0E1C3D4F"/>
    <w:rsid w:val="0E2F7A7F"/>
    <w:rsid w:val="0E625C06"/>
    <w:rsid w:val="0ECD1421"/>
    <w:rsid w:val="0F032819"/>
    <w:rsid w:val="0F152C78"/>
    <w:rsid w:val="0F3F5F47"/>
    <w:rsid w:val="0F615EBD"/>
    <w:rsid w:val="0FDF6DE2"/>
    <w:rsid w:val="10282537"/>
    <w:rsid w:val="10710382"/>
    <w:rsid w:val="108F25B6"/>
    <w:rsid w:val="10A93D64"/>
    <w:rsid w:val="1115264F"/>
    <w:rsid w:val="113F2E51"/>
    <w:rsid w:val="11F76665"/>
    <w:rsid w:val="12575356"/>
    <w:rsid w:val="12D270D2"/>
    <w:rsid w:val="12DC3AAD"/>
    <w:rsid w:val="12E52961"/>
    <w:rsid w:val="13702B73"/>
    <w:rsid w:val="137079D4"/>
    <w:rsid w:val="137F2DB6"/>
    <w:rsid w:val="13B30CB1"/>
    <w:rsid w:val="13E76BAD"/>
    <w:rsid w:val="13EB3FA7"/>
    <w:rsid w:val="140B63F8"/>
    <w:rsid w:val="144556C4"/>
    <w:rsid w:val="145002AE"/>
    <w:rsid w:val="146B158C"/>
    <w:rsid w:val="14832432"/>
    <w:rsid w:val="14A30D26"/>
    <w:rsid w:val="1504766F"/>
    <w:rsid w:val="153B2D0D"/>
    <w:rsid w:val="15785D0F"/>
    <w:rsid w:val="158521DA"/>
    <w:rsid w:val="15A703A2"/>
    <w:rsid w:val="15AA5A95"/>
    <w:rsid w:val="160752E5"/>
    <w:rsid w:val="163A4E64"/>
    <w:rsid w:val="163D4862"/>
    <w:rsid w:val="16754068"/>
    <w:rsid w:val="16D927DD"/>
    <w:rsid w:val="1702724C"/>
    <w:rsid w:val="17253C74"/>
    <w:rsid w:val="17946704"/>
    <w:rsid w:val="1799127D"/>
    <w:rsid w:val="17AD10F0"/>
    <w:rsid w:val="188E75F7"/>
    <w:rsid w:val="18A24E51"/>
    <w:rsid w:val="190478B9"/>
    <w:rsid w:val="19827735"/>
    <w:rsid w:val="1A475CB0"/>
    <w:rsid w:val="1B56062E"/>
    <w:rsid w:val="1BA62EAA"/>
    <w:rsid w:val="1BBE4697"/>
    <w:rsid w:val="1BEE218B"/>
    <w:rsid w:val="1CB515F6"/>
    <w:rsid w:val="1CC15E4F"/>
    <w:rsid w:val="1CE94CBD"/>
    <w:rsid w:val="1D5F1562"/>
    <w:rsid w:val="1D664516"/>
    <w:rsid w:val="1DA8115B"/>
    <w:rsid w:val="1DB4038D"/>
    <w:rsid w:val="1DEC2556"/>
    <w:rsid w:val="1DF223D6"/>
    <w:rsid w:val="1E0F2F88"/>
    <w:rsid w:val="1E5B441F"/>
    <w:rsid w:val="1E6E14C1"/>
    <w:rsid w:val="1E9B2A6E"/>
    <w:rsid w:val="1F1A4B66"/>
    <w:rsid w:val="1F375E7E"/>
    <w:rsid w:val="1FC55FF4"/>
    <w:rsid w:val="201C373B"/>
    <w:rsid w:val="20474C5B"/>
    <w:rsid w:val="20BC34EE"/>
    <w:rsid w:val="20ED662C"/>
    <w:rsid w:val="21412E8C"/>
    <w:rsid w:val="21470C8B"/>
    <w:rsid w:val="214E201A"/>
    <w:rsid w:val="215A118C"/>
    <w:rsid w:val="21731A80"/>
    <w:rsid w:val="217E28FF"/>
    <w:rsid w:val="21894680"/>
    <w:rsid w:val="21D544E9"/>
    <w:rsid w:val="21D86719"/>
    <w:rsid w:val="21DE339D"/>
    <w:rsid w:val="22164F1C"/>
    <w:rsid w:val="22873A35"/>
    <w:rsid w:val="22D62EEB"/>
    <w:rsid w:val="232A43C0"/>
    <w:rsid w:val="23533917"/>
    <w:rsid w:val="236E666A"/>
    <w:rsid w:val="23820E03"/>
    <w:rsid w:val="238C6E29"/>
    <w:rsid w:val="239B4777"/>
    <w:rsid w:val="23AD1279"/>
    <w:rsid w:val="23C71C0F"/>
    <w:rsid w:val="23DA7039"/>
    <w:rsid w:val="24082FAE"/>
    <w:rsid w:val="247E78C9"/>
    <w:rsid w:val="248F084E"/>
    <w:rsid w:val="24C90335"/>
    <w:rsid w:val="25205A7B"/>
    <w:rsid w:val="25252228"/>
    <w:rsid w:val="252A68FA"/>
    <w:rsid w:val="25341526"/>
    <w:rsid w:val="25567EDD"/>
    <w:rsid w:val="256410B3"/>
    <w:rsid w:val="25CE197B"/>
    <w:rsid w:val="263A491A"/>
    <w:rsid w:val="26946721"/>
    <w:rsid w:val="26DF652C"/>
    <w:rsid w:val="272F1D72"/>
    <w:rsid w:val="27355E5E"/>
    <w:rsid w:val="274517C9"/>
    <w:rsid w:val="27677CB1"/>
    <w:rsid w:val="27FD1F46"/>
    <w:rsid w:val="281A2C55"/>
    <w:rsid w:val="28221B0A"/>
    <w:rsid w:val="28884063"/>
    <w:rsid w:val="288D3427"/>
    <w:rsid w:val="29017971"/>
    <w:rsid w:val="2912392D"/>
    <w:rsid w:val="29183639"/>
    <w:rsid w:val="294361DC"/>
    <w:rsid w:val="29A94291"/>
    <w:rsid w:val="29C451CE"/>
    <w:rsid w:val="29F3375E"/>
    <w:rsid w:val="2A7F4FF2"/>
    <w:rsid w:val="2AA44A58"/>
    <w:rsid w:val="2AEB287C"/>
    <w:rsid w:val="2AF94DA4"/>
    <w:rsid w:val="2B3109E2"/>
    <w:rsid w:val="2B6819BE"/>
    <w:rsid w:val="2B9845BD"/>
    <w:rsid w:val="2BCA04EF"/>
    <w:rsid w:val="2BD9641D"/>
    <w:rsid w:val="2C621724"/>
    <w:rsid w:val="2CCF04B2"/>
    <w:rsid w:val="2D761A48"/>
    <w:rsid w:val="2DB9081B"/>
    <w:rsid w:val="2DBF28BE"/>
    <w:rsid w:val="2E2A34C6"/>
    <w:rsid w:val="2E9F3EB4"/>
    <w:rsid w:val="2EC456C9"/>
    <w:rsid w:val="2F0D52C2"/>
    <w:rsid w:val="2F1A7D8B"/>
    <w:rsid w:val="2F6F3887"/>
    <w:rsid w:val="2F7C5FA4"/>
    <w:rsid w:val="2F820C25"/>
    <w:rsid w:val="2F9E5F1A"/>
    <w:rsid w:val="2FE778C1"/>
    <w:rsid w:val="307D0225"/>
    <w:rsid w:val="30AD40A4"/>
    <w:rsid w:val="30D77936"/>
    <w:rsid w:val="31091AB9"/>
    <w:rsid w:val="31124E12"/>
    <w:rsid w:val="31741628"/>
    <w:rsid w:val="318934B5"/>
    <w:rsid w:val="3263399B"/>
    <w:rsid w:val="32DC7485"/>
    <w:rsid w:val="32E36F4F"/>
    <w:rsid w:val="32EC2577"/>
    <w:rsid w:val="32FA3DAF"/>
    <w:rsid w:val="33052B01"/>
    <w:rsid w:val="335D1FE1"/>
    <w:rsid w:val="34036C94"/>
    <w:rsid w:val="34574FF0"/>
    <w:rsid w:val="346040E6"/>
    <w:rsid w:val="34934894"/>
    <w:rsid w:val="34F92FC0"/>
    <w:rsid w:val="350E769E"/>
    <w:rsid w:val="35BB5A78"/>
    <w:rsid w:val="35BC70FA"/>
    <w:rsid w:val="35C45F10"/>
    <w:rsid w:val="35EE4671"/>
    <w:rsid w:val="3639699D"/>
    <w:rsid w:val="36513CE6"/>
    <w:rsid w:val="3687595A"/>
    <w:rsid w:val="36AB6ECE"/>
    <w:rsid w:val="36B8100C"/>
    <w:rsid w:val="371D1E1A"/>
    <w:rsid w:val="37753A04"/>
    <w:rsid w:val="377933A1"/>
    <w:rsid w:val="37C14E9C"/>
    <w:rsid w:val="37DF20DE"/>
    <w:rsid w:val="381864A3"/>
    <w:rsid w:val="38EC419A"/>
    <w:rsid w:val="390F6E62"/>
    <w:rsid w:val="39544AA0"/>
    <w:rsid w:val="39561614"/>
    <w:rsid w:val="3A15327D"/>
    <w:rsid w:val="3A160606"/>
    <w:rsid w:val="3A287FFA"/>
    <w:rsid w:val="3A5C0EAC"/>
    <w:rsid w:val="3A882C86"/>
    <w:rsid w:val="3AA4070D"/>
    <w:rsid w:val="3AD273C0"/>
    <w:rsid w:val="3AEC28F6"/>
    <w:rsid w:val="3B2F670A"/>
    <w:rsid w:val="3B5A363D"/>
    <w:rsid w:val="3BA96372"/>
    <w:rsid w:val="3BB07701"/>
    <w:rsid w:val="3C1B290E"/>
    <w:rsid w:val="3C7E3D3E"/>
    <w:rsid w:val="3CD73705"/>
    <w:rsid w:val="3D142E25"/>
    <w:rsid w:val="3DB37034"/>
    <w:rsid w:val="3E2B12C1"/>
    <w:rsid w:val="3F3E5024"/>
    <w:rsid w:val="3F80563C"/>
    <w:rsid w:val="3F9966FE"/>
    <w:rsid w:val="3FB86B84"/>
    <w:rsid w:val="4012098A"/>
    <w:rsid w:val="4013200C"/>
    <w:rsid w:val="40232104"/>
    <w:rsid w:val="403501D5"/>
    <w:rsid w:val="4171147A"/>
    <w:rsid w:val="4171348E"/>
    <w:rsid w:val="417B60F7"/>
    <w:rsid w:val="41EB3113"/>
    <w:rsid w:val="420A743F"/>
    <w:rsid w:val="424961B9"/>
    <w:rsid w:val="42562684"/>
    <w:rsid w:val="428C3BDB"/>
    <w:rsid w:val="42E257E4"/>
    <w:rsid w:val="43100A85"/>
    <w:rsid w:val="43150AB7"/>
    <w:rsid w:val="43346E69"/>
    <w:rsid w:val="4374370A"/>
    <w:rsid w:val="43CC01DA"/>
    <w:rsid w:val="445D7CFA"/>
    <w:rsid w:val="447C1526"/>
    <w:rsid w:val="448E082A"/>
    <w:rsid w:val="44A27E03"/>
    <w:rsid w:val="44FE14DD"/>
    <w:rsid w:val="450669E9"/>
    <w:rsid w:val="45C1250B"/>
    <w:rsid w:val="45EC57D9"/>
    <w:rsid w:val="46357180"/>
    <w:rsid w:val="46625A9C"/>
    <w:rsid w:val="4734568A"/>
    <w:rsid w:val="478A4568"/>
    <w:rsid w:val="478B2DD0"/>
    <w:rsid w:val="47B431A0"/>
    <w:rsid w:val="47B84B17"/>
    <w:rsid w:val="47F6649C"/>
    <w:rsid w:val="48A64365"/>
    <w:rsid w:val="48D80297"/>
    <w:rsid w:val="496023FA"/>
    <w:rsid w:val="49816239"/>
    <w:rsid w:val="49A63EF1"/>
    <w:rsid w:val="49AD5280"/>
    <w:rsid w:val="4A1E617D"/>
    <w:rsid w:val="4A2F49B5"/>
    <w:rsid w:val="4A5C22FF"/>
    <w:rsid w:val="4A600544"/>
    <w:rsid w:val="4ABD7744"/>
    <w:rsid w:val="4B683B54"/>
    <w:rsid w:val="4C6065D9"/>
    <w:rsid w:val="4C735DFD"/>
    <w:rsid w:val="4C7D09F0"/>
    <w:rsid w:val="4CF82CB6"/>
    <w:rsid w:val="4DD51249"/>
    <w:rsid w:val="4DE23D78"/>
    <w:rsid w:val="4DFE42FC"/>
    <w:rsid w:val="4E077D09"/>
    <w:rsid w:val="4E6210E9"/>
    <w:rsid w:val="4E80426E"/>
    <w:rsid w:val="4E870795"/>
    <w:rsid w:val="4EA76741"/>
    <w:rsid w:val="4ED432AF"/>
    <w:rsid w:val="4F0A4F22"/>
    <w:rsid w:val="4F6E3703"/>
    <w:rsid w:val="502D7007"/>
    <w:rsid w:val="505A5A36"/>
    <w:rsid w:val="50697475"/>
    <w:rsid w:val="508C3D8F"/>
    <w:rsid w:val="50AC44E3"/>
    <w:rsid w:val="50B065CD"/>
    <w:rsid w:val="50BB0282"/>
    <w:rsid w:val="50DB6B76"/>
    <w:rsid w:val="518F170F"/>
    <w:rsid w:val="51981E3E"/>
    <w:rsid w:val="51C70692"/>
    <w:rsid w:val="51DE61DA"/>
    <w:rsid w:val="51F85506"/>
    <w:rsid w:val="520417A7"/>
    <w:rsid w:val="521E46DD"/>
    <w:rsid w:val="525953CC"/>
    <w:rsid w:val="52750905"/>
    <w:rsid w:val="528648C0"/>
    <w:rsid w:val="52A80CDA"/>
    <w:rsid w:val="52B10076"/>
    <w:rsid w:val="52B15DE1"/>
    <w:rsid w:val="52B23907"/>
    <w:rsid w:val="52D41ACF"/>
    <w:rsid w:val="534E7AD3"/>
    <w:rsid w:val="53980D4F"/>
    <w:rsid w:val="539D138E"/>
    <w:rsid w:val="53FA25B4"/>
    <w:rsid w:val="53FD32A8"/>
    <w:rsid w:val="546314A0"/>
    <w:rsid w:val="554F368F"/>
    <w:rsid w:val="55741347"/>
    <w:rsid w:val="559D43FA"/>
    <w:rsid w:val="55FC6F38"/>
    <w:rsid w:val="56051FA0"/>
    <w:rsid w:val="56717635"/>
    <w:rsid w:val="567F7FA4"/>
    <w:rsid w:val="56FB3ACE"/>
    <w:rsid w:val="570C5CDB"/>
    <w:rsid w:val="571174D7"/>
    <w:rsid w:val="5785783C"/>
    <w:rsid w:val="57B41ECF"/>
    <w:rsid w:val="57DE0CFA"/>
    <w:rsid w:val="57EC3417"/>
    <w:rsid w:val="57ED228D"/>
    <w:rsid w:val="57F573FC"/>
    <w:rsid w:val="58112E7E"/>
    <w:rsid w:val="58207565"/>
    <w:rsid w:val="58382B00"/>
    <w:rsid w:val="586E02D0"/>
    <w:rsid w:val="58951D01"/>
    <w:rsid w:val="58C148A4"/>
    <w:rsid w:val="58D345D7"/>
    <w:rsid w:val="598853C1"/>
    <w:rsid w:val="59950D03"/>
    <w:rsid w:val="59A04F9F"/>
    <w:rsid w:val="59A321FB"/>
    <w:rsid w:val="59DF4FA9"/>
    <w:rsid w:val="5A9647D7"/>
    <w:rsid w:val="5AD703AE"/>
    <w:rsid w:val="5B5A1DBF"/>
    <w:rsid w:val="5D081F0B"/>
    <w:rsid w:val="5D665A1A"/>
    <w:rsid w:val="5DD21301"/>
    <w:rsid w:val="5DE03A1E"/>
    <w:rsid w:val="5F172B56"/>
    <w:rsid w:val="5F7907D7"/>
    <w:rsid w:val="5F8351CE"/>
    <w:rsid w:val="5F97635E"/>
    <w:rsid w:val="5FF53085"/>
    <w:rsid w:val="60116111"/>
    <w:rsid w:val="603A3808"/>
    <w:rsid w:val="60A0164F"/>
    <w:rsid w:val="60A2320D"/>
    <w:rsid w:val="60A32AE1"/>
    <w:rsid w:val="60D106D9"/>
    <w:rsid w:val="612C510A"/>
    <w:rsid w:val="613E3956"/>
    <w:rsid w:val="61D1061E"/>
    <w:rsid w:val="620B4DE2"/>
    <w:rsid w:val="62143C96"/>
    <w:rsid w:val="62B86D17"/>
    <w:rsid w:val="62EC4827"/>
    <w:rsid w:val="62EC5F9A"/>
    <w:rsid w:val="6381535B"/>
    <w:rsid w:val="63E63410"/>
    <w:rsid w:val="642B3519"/>
    <w:rsid w:val="646507D9"/>
    <w:rsid w:val="648558A4"/>
    <w:rsid w:val="64865018"/>
    <w:rsid w:val="64E876E0"/>
    <w:rsid w:val="65085608"/>
    <w:rsid w:val="65CC501A"/>
    <w:rsid w:val="663407CE"/>
    <w:rsid w:val="66E20BE2"/>
    <w:rsid w:val="67732D56"/>
    <w:rsid w:val="67A23AF2"/>
    <w:rsid w:val="685D1552"/>
    <w:rsid w:val="689D7DF8"/>
    <w:rsid w:val="68A85138"/>
    <w:rsid w:val="68BB1F19"/>
    <w:rsid w:val="68F71460"/>
    <w:rsid w:val="69116718"/>
    <w:rsid w:val="694E2184"/>
    <w:rsid w:val="695B664F"/>
    <w:rsid w:val="69635503"/>
    <w:rsid w:val="6A1A2066"/>
    <w:rsid w:val="6A2D7FEB"/>
    <w:rsid w:val="6A535578"/>
    <w:rsid w:val="6A624A2F"/>
    <w:rsid w:val="6A6908F7"/>
    <w:rsid w:val="6AC50223"/>
    <w:rsid w:val="6AD246EE"/>
    <w:rsid w:val="6B1252E0"/>
    <w:rsid w:val="6B6537B4"/>
    <w:rsid w:val="6B7F67E4"/>
    <w:rsid w:val="6BAC4F3F"/>
    <w:rsid w:val="6BB43DF4"/>
    <w:rsid w:val="6BBF08B4"/>
    <w:rsid w:val="6C513E75"/>
    <w:rsid w:val="6CB7789C"/>
    <w:rsid w:val="6CD24E7A"/>
    <w:rsid w:val="6D8048D6"/>
    <w:rsid w:val="6E264F3A"/>
    <w:rsid w:val="6E353A42"/>
    <w:rsid w:val="6F3A0AB4"/>
    <w:rsid w:val="6F3C482C"/>
    <w:rsid w:val="6F433E0D"/>
    <w:rsid w:val="6F7F1FE9"/>
    <w:rsid w:val="6FD3304A"/>
    <w:rsid w:val="70640CBF"/>
    <w:rsid w:val="70671D7D"/>
    <w:rsid w:val="706758D9"/>
    <w:rsid w:val="71663ED8"/>
    <w:rsid w:val="7168577F"/>
    <w:rsid w:val="71AC7459"/>
    <w:rsid w:val="71C72AD3"/>
    <w:rsid w:val="71FC02A3"/>
    <w:rsid w:val="725B76BF"/>
    <w:rsid w:val="726631D8"/>
    <w:rsid w:val="726C4EFD"/>
    <w:rsid w:val="729A3A97"/>
    <w:rsid w:val="72A252EE"/>
    <w:rsid w:val="72B33057"/>
    <w:rsid w:val="72E27499"/>
    <w:rsid w:val="72EE0533"/>
    <w:rsid w:val="7343262D"/>
    <w:rsid w:val="734652DE"/>
    <w:rsid w:val="73800382"/>
    <w:rsid w:val="73893DB8"/>
    <w:rsid w:val="73B72B30"/>
    <w:rsid w:val="73E3171A"/>
    <w:rsid w:val="7423420D"/>
    <w:rsid w:val="743106D8"/>
    <w:rsid w:val="743D52CE"/>
    <w:rsid w:val="74736F42"/>
    <w:rsid w:val="74AC5FB0"/>
    <w:rsid w:val="751760CC"/>
    <w:rsid w:val="7581743D"/>
    <w:rsid w:val="761B75CE"/>
    <w:rsid w:val="76465F91"/>
    <w:rsid w:val="76B4114C"/>
    <w:rsid w:val="76CA6BC2"/>
    <w:rsid w:val="77065E4C"/>
    <w:rsid w:val="775F3697"/>
    <w:rsid w:val="779547A1"/>
    <w:rsid w:val="779571D0"/>
    <w:rsid w:val="7815366B"/>
    <w:rsid w:val="784C2969"/>
    <w:rsid w:val="789F23B2"/>
    <w:rsid w:val="79022643"/>
    <w:rsid w:val="790E0FE8"/>
    <w:rsid w:val="792672BF"/>
    <w:rsid w:val="79312F28"/>
    <w:rsid w:val="79490272"/>
    <w:rsid w:val="79604D4C"/>
    <w:rsid w:val="796B01E8"/>
    <w:rsid w:val="797C0647"/>
    <w:rsid w:val="79925FCD"/>
    <w:rsid w:val="79C63670"/>
    <w:rsid w:val="79D20267"/>
    <w:rsid w:val="79E957E5"/>
    <w:rsid w:val="7A053C7E"/>
    <w:rsid w:val="7A5F22BC"/>
    <w:rsid w:val="7ADD5115"/>
    <w:rsid w:val="7B2A40D3"/>
    <w:rsid w:val="7B8626B2"/>
    <w:rsid w:val="7BC2255D"/>
    <w:rsid w:val="7CEB0C7B"/>
    <w:rsid w:val="7D276B1C"/>
    <w:rsid w:val="7D6513F2"/>
    <w:rsid w:val="7E521976"/>
    <w:rsid w:val="7E90249F"/>
    <w:rsid w:val="7F207CC7"/>
    <w:rsid w:val="7F2552DD"/>
    <w:rsid w:val="7F271055"/>
    <w:rsid w:val="7F737DF6"/>
    <w:rsid w:val="7F932781"/>
    <w:rsid w:val="7FB15C63"/>
    <w:rsid w:val="7FC9210C"/>
    <w:rsid w:val="7FF66FAF"/>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paragraph" w:styleId="10">
    <w:name w:val="Body Text First Indent 2"/>
    <w:basedOn w:val="3"/>
    <w:qFormat/>
    <w:uiPriority w:val="0"/>
    <w:pPr>
      <w:ind w:firstLine="420" w:firstLineChars="200"/>
    </w:p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paragraph" w:styleId="15">
    <w:name w:val="List Paragraph"/>
    <w:basedOn w:val="1"/>
    <w:qFormat/>
    <w:uiPriority w:val="99"/>
    <w:pPr>
      <w:ind w:firstLine="420" w:firstLineChars="200"/>
    </w:pPr>
    <w:rPr>
      <w:rFonts w:ascii="Calibri" w:hAnsi="Calibri"/>
      <w:szCs w:val="22"/>
    </w:rPr>
  </w:style>
  <w:style w:type="character" w:customStyle="1" w:styleId="16">
    <w:name w:val="font31"/>
    <w:basedOn w:val="12"/>
    <w:qFormat/>
    <w:uiPriority w:val="0"/>
    <w:rPr>
      <w:rFonts w:hint="default" w:ascii="Times New Roman" w:hAnsi="Times New Roman" w:cs="Times New Roman"/>
      <w:b/>
      <w:bCs/>
      <w:color w:val="000000"/>
      <w:sz w:val="24"/>
      <w:szCs w:val="24"/>
      <w:u w:val="none"/>
    </w:rPr>
  </w:style>
  <w:style w:type="character" w:customStyle="1" w:styleId="17">
    <w:name w:val="font131"/>
    <w:basedOn w:val="12"/>
    <w:qFormat/>
    <w:uiPriority w:val="0"/>
    <w:rPr>
      <w:rFonts w:ascii="仿宋" w:hAnsi="仿宋" w:eastAsia="仿宋" w:cs="仿宋"/>
      <w:b/>
      <w:bCs/>
      <w:color w:val="000000"/>
      <w:sz w:val="24"/>
      <w:szCs w:val="24"/>
      <w:u w:val="none"/>
    </w:rPr>
  </w:style>
  <w:style w:type="character" w:customStyle="1" w:styleId="18">
    <w:name w:val="font81"/>
    <w:basedOn w:val="12"/>
    <w:qFormat/>
    <w:uiPriority w:val="0"/>
    <w:rPr>
      <w:rFonts w:hint="eastAsia" w:ascii="仿宋" w:hAnsi="仿宋" w:eastAsia="仿宋" w:cs="仿宋"/>
      <w:b/>
      <w:bCs/>
      <w:color w:val="000000"/>
      <w:sz w:val="24"/>
      <w:szCs w:val="24"/>
      <w:u w:val="none"/>
    </w:rPr>
  </w:style>
  <w:style w:type="character" w:customStyle="1" w:styleId="19">
    <w:name w:val="font71"/>
    <w:basedOn w:val="12"/>
    <w:qFormat/>
    <w:uiPriority w:val="0"/>
    <w:rPr>
      <w:rFonts w:hint="eastAsia" w:ascii="仿宋" w:hAnsi="仿宋" w:eastAsia="仿宋" w:cs="仿宋"/>
      <w:b/>
      <w:bCs/>
      <w:color w:val="000000"/>
      <w:sz w:val="24"/>
      <w:szCs w:val="24"/>
      <w:u w:val="none"/>
    </w:rPr>
  </w:style>
  <w:style w:type="character" w:customStyle="1" w:styleId="20">
    <w:name w:val="font112"/>
    <w:basedOn w:val="12"/>
    <w:qFormat/>
    <w:uiPriority w:val="0"/>
    <w:rPr>
      <w:rFonts w:hint="default" w:ascii="Times New Roman" w:hAnsi="Times New Roman" w:cs="Times New Roman"/>
      <w:color w:val="000000"/>
      <w:sz w:val="24"/>
      <w:szCs w:val="24"/>
      <w:u w:val="none"/>
    </w:rPr>
  </w:style>
  <w:style w:type="character" w:customStyle="1" w:styleId="21">
    <w:name w:val="font121"/>
    <w:basedOn w:val="12"/>
    <w:qFormat/>
    <w:uiPriority w:val="0"/>
    <w:rPr>
      <w:rFonts w:hint="eastAsia" w:ascii="仿宋" w:hAnsi="仿宋" w:eastAsia="仿宋" w:cs="仿宋"/>
      <w:color w:val="000000"/>
      <w:sz w:val="24"/>
      <w:szCs w:val="24"/>
      <w:u w:val="none"/>
    </w:rPr>
  </w:style>
  <w:style w:type="character" w:customStyle="1" w:styleId="22">
    <w:name w:val="font21"/>
    <w:basedOn w:val="12"/>
    <w:qFormat/>
    <w:uiPriority w:val="0"/>
    <w:rPr>
      <w:rFonts w:ascii="仿宋" w:hAnsi="仿宋" w:eastAsia="仿宋" w:cs="仿宋"/>
      <w:b/>
      <w:bCs/>
      <w:color w:val="000000"/>
      <w:sz w:val="22"/>
      <w:szCs w:val="22"/>
      <w:u w:val="none"/>
    </w:rPr>
  </w:style>
  <w:style w:type="character" w:customStyle="1" w:styleId="23">
    <w:name w:val="font41"/>
    <w:basedOn w:val="12"/>
    <w:qFormat/>
    <w:uiPriority w:val="0"/>
    <w:rPr>
      <w:rFonts w:hint="default" w:ascii="Times New Roman" w:hAnsi="Times New Roman" w:cs="Times New Roman"/>
      <w:b/>
      <w:bCs/>
      <w:color w:val="000000"/>
      <w:sz w:val="22"/>
      <w:szCs w:val="22"/>
      <w:u w:val="none"/>
    </w:rPr>
  </w:style>
  <w:style w:type="character" w:customStyle="1" w:styleId="24">
    <w:name w:val="font11"/>
    <w:basedOn w:val="12"/>
    <w:qFormat/>
    <w:uiPriority w:val="0"/>
    <w:rPr>
      <w:rFonts w:hint="eastAsia" w:ascii="仿宋" w:hAnsi="仿宋" w:eastAsia="仿宋" w:cs="仿宋"/>
      <w:color w:val="000000"/>
      <w:sz w:val="22"/>
      <w:szCs w:val="22"/>
      <w:u w:val="none"/>
    </w:rPr>
  </w:style>
  <w:style w:type="character" w:customStyle="1" w:styleId="25">
    <w:name w:val="font61"/>
    <w:basedOn w:val="12"/>
    <w:qFormat/>
    <w:uiPriority w:val="0"/>
    <w:rPr>
      <w:rFonts w:hint="default" w:ascii="Times New Roman" w:hAnsi="Times New Roman" w:cs="Times New Roman"/>
      <w:color w:val="000000"/>
      <w:sz w:val="22"/>
      <w:szCs w:val="22"/>
      <w:u w:val="none"/>
    </w:rPr>
  </w:style>
  <w:style w:type="character" w:customStyle="1" w:styleId="26">
    <w:name w:val="font101"/>
    <w:basedOn w:val="12"/>
    <w:qFormat/>
    <w:uiPriority w:val="0"/>
    <w:rPr>
      <w:rFonts w:hint="eastAsia" w:ascii="仿宋" w:hAnsi="仿宋" w:eastAsia="仿宋" w:cs="仿宋"/>
      <w:color w:val="000000"/>
      <w:sz w:val="22"/>
      <w:szCs w:val="22"/>
      <w:u w:val="none"/>
    </w:rPr>
  </w:style>
  <w:style w:type="character" w:customStyle="1" w:styleId="27">
    <w:name w:val="font141"/>
    <w:basedOn w:val="12"/>
    <w:qFormat/>
    <w:uiPriority w:val="0"/>
    <w:rPr>
      <w:rFonts w:hint="eastAsia" w:ascii="仿宋" w:hAnsi="仿宋" w:eastAsia="仿宋" w:cs="仿宋"/>
      <w:color w:val="000000"/>
      <w:sz w:val="22"/>
      <w:szCs w:val="22"/>
      <w:u w:val="none"/>
    </w:rPr>
  </w:style>
  <w:style w:type="character" w:customStyle="1" w:styleId="28">
    <w:name w:val="font91"/>
    <w:basedOn w:val="12"/>
    <w:qFormat/>
    <w:uiPriority w:val="0"/>
    <w:rPr>
      <w:rFonts w:hint="default" w:ascii="Times New Roman" w:hAnsi="Times New Roman" w:cs="Times New Roman"/>
      <w:color w:val="000000"/>
      <w:sz w:val="22"/>
      <w:szCs w:val="22"/>
      <w:u w:val="none"/>
    </w:rPr>
  </w:style>
  <w:style w:type="paragraph" w:customStyle="1" w:styleId="29">
    <w:name w:val="普通(网站) Char"/>
    <w:basedOn w:val="1"/>
    <w:qFormat/>
    <w:uiPriority w:val="0"/>
    <w:pPr>
      <w:spacing w:beforeAutospacing="1" w:afterAutospacing="1"/>
      <w:jc w:val="left"/>
    </w:pPr>
    <w:rPr>
      <w:rFonts w:hint="eastAsia" w:ascii="宋体" w:hAnsi="宋体"/>
      <w:kern w:val="0"/>
      <w:sz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13871</Words>
  <Characters>15113</Characters>
  <Lines>87</Lines>
  <Paragraphs>24</Paragraphs>
  <TotalTime>25</TotalTime>
  <ScaleCrop>false</ScaleCrop>
  <LinksUpToDate>false</LinksUpToDate>
  <CharactersWithSpaces>15299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2020-10-22T06:59:00Z</dcterms:created>
  <dc:creator>Administrator</dc:creator>
  <cp:lastModifiedBy>Administrator</cp:lastModifiedBy>
  <dcterms:modified xsi:type="dcterms:W3CDTF">2022-11-29T01:41:59Z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5D8E93519AE0459E83E97BFB88FB3CF1</vt:lpwstr>
  </property>
</Properties>
</file>