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520" w:lineRule="exact"/>
        <w:ind w:left="126"/>
        <w:rPr>
          <w:rFonts w:ascii="Times New Roman" w:eastAsia="仿宋"/>
          <w:sz w:val="20"/>
          <w:lang w:eastAsia="zh-CN"/>
        </w:rPr>
      </w:pPr>
    </w:p>
    <w:p>
      <w:pPr>
        <w:pStyle w:val="2"/>
        <w:spacing w:line="520" w:lineRule="exact"/>
        <w:rPr>
          <w:rFonts w:ascii="Times New Roman"/>
          <w:sz w:val="20"/>
        </w:rPr>
      </w:pPr>
    </w:p>
    <w:p>
      <w:pPr>
        <w:pStyle w:val="2"/>
        <w:spacing w:line="520" w:lineRule="exact"/>
        <w:rPr>
          <w:rFonts w:ascii="Times New Roman"/>
          <w:sz w:val="20"/>
        </w:rPr>
      </w:pPr>
    </w:p>
    <w:p>
      <w:pPr>
        <w:widowControl w:val="0"/>
        <w:spacing w:before="44" w:line="520" w:lineRule="exact"/>
        <w:ind w:left="986" w:hanging="986"/>
        <w:jc w:val="center"/>
        <w:outlineLvl w:val="9"/>
        <w:rPr>
          <w:rFonts w:ascii="华文中宋" w:eastAsia="华文中宋"/>
          <w:b/>
          <w:sz w:val="44"/>
        </w:rPr>
      </w:pPr>
      <w:r>
        <w:rPr>
          <w:rFonts w:hint="eastAsia" w:ascii="华文中宋" w:eastAsia="华文中宋"/>
          <w:b/>
          <w:sz w:val="44"/>
        </w:rPr>
        <w:t>邵东市农业农村局2021年种子采购资金项目绩效评价报告</w:t>
      </w:r>
    </w:p>
    <w:p>
      <w:pPr>
        <w:pStyle w:val="2"/>
        <w:spacing w:line="520" w:lineRule="exact"/>
        <w:rPr>
          <w:rFonts w:ascii="华文中宋"/>
          <w:b/>
          <w:sz w:val="58"/>
        </w:rPr>
      </w:pPr>
    </w:p>
    <w:p>
      <w:pPr>
        <w:pStyle w:val="2"/>
        <w:spacing w:before="4" w:line="520" w:lineRule="exact"/>
        <w:rPr>
          <w:rFonts w:ascii="华文中宋"/>
          <w:b/>
          <w:sz w:val="73"/>
        </w:rPr>
      </w:pPr>
    </w:p>
    <w:p>
      <w:pPr>
        <w:pStyle w:val="2"/>
        <w:spacing w:before="4" w:line="520" w:lineRule="exact"/>
        <w:rPr>
          <w:rFonts w:ascii="华文中宋"/>
          <w:b/>
          <w:sz w:val="73"/>
          <w:lang w:eastAsia="zh-CN"/>
        </w:rPr>
      </w:pPr>
      <w:r>
        <w:rPr>
          <w:rFonts w:hint="eastAsia" w:ascii="华文中宋"/>
          <w:b/>
          <w:sz w:val="73"/>
          <w:lang w:eastAsia="zh-CN"/>
        </w:rPr>
        <w:t xml:space="preserve">     </w:t>
      </w:r>
    </w:p>
    <w:p>
      <w:pPr>
        <w:pStyle w:val="2"/>
        <w:spacing w:before="4" w:line="520" w:lineRule="exact"/>
        <w:rPr>
          <w:rFonts w:ascii="华文中宋"/>
          <w:b/>
          <w:sz w:val="73"/>
          <w:lang w:eastAsia="zh-CN"/>
        </w:rPr>
      </w:pPr>
    </w:p>
    <w:tbl>
      <w:tblPr>
        <w:tblStyle w:val="39"/>
        <w:tblW w:w="0" w:type="auto"/>
        <w:tblInd w:w="146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3"/>
        <w:gridCol w:w="55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2"/>
              <w:spacing w:before="4" w:line="520" w:lineRule="exact"/>
              <w:jc w:val="right"/>
              <w:rPr>
                <w:rFonts w:ascii="华文中宋" w:eastAsia="仿宋"/>
                <w:b/>
                <w:sz w:val="73"/>
                <w:lang w:eastAsia="zh-CN"/>
              </w:rPr>
            </w:pPr>
            <w:r>
              <w:rPr>
                <w:rFonts w:hint="eastAsia"/>
                <w:w w:val="95"/>
                <w:lang w:eastAsia="zh-CN"/>
              </w:rPr>
              <w:t>委托单位：</w:t>
            </w:r>
          </w:p>
        </w:tc>
        <w:tc>
          <w:tcPr>
            <w:tcW w:w="5583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pStyle w:val="2"/>
              <w:spacing w:before="4" w:line="520" w:lineRule="exact"/>
              <w:rPr>
                <w:rFonts w:ascii="华文中宋" w:eastAsia="仿宋"/>
                <w:b/>
                <w:sz w:val="73"/>
                <w:lang w:eastAsia="zh-CN"/>
              </w:rPr>
            </w:pPr>
            <w:r>
              <w:rPr>
                <w:rFonts w:hint="eastAsia"/>
                <w:w w:val="95"/>
                <w:lang w:eastAsia="zh-CN"/>
              </w:rPr>
              <w:t xml:space="preserve">邵东市财政局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exact"/>
        </w:trPr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2"/>
              <w:spacing w:before="4" w:line="520" w:lineRule="exact"/>
              <w:jc w:val="right"/>
              <w:rPr>
                <w:rFonts w:ascii="华文中宋" w:eastAsia="仿宋"/>
                <w:b/>
                <w:sz w:val="73"/>
                <w:lang w:eastAsia="zh-CN"/>
              </w:rPr>
            </w:pPr>
            <w:r>
              <w:rPr>
                <w:rFonts w:hint="eastAsia"/>
                <w:w w:val="95"/>
                <w:lang w:eastAsia="zh-CN"/>
              </w:rPr>
              <w:t>评价单位：</w:t>
            </w:r>
          </w:p>
        </w:tc>
        <w:tc>
          <w:tcPr>
            <w:tcW w:w="5583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pStyle w:val="2"/>
              <w:spacing w:before="4" w:line="520" w:lineRule="exact"/>
              <w:rPr>
                <w:w w:val="95"/>
                <w:lang w:eastAsia="zh-CN"/>
              </w:rPr>
            </w:pPr>
            <w:r>
              <w:rPr>
                <w:rFonts w:hint="eastAsia"/>
                <w:w w:val="95"/>
                <w:lang w:eastAsia="zh-CN"/>
              </w:rPr>
              <w:t xml:space="preserve">湖南国升联合会计师事务所（普通合伙）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exact"/>
        </w:trPr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pStyle w:val="2"/>
              <w:spacing w:before="4" w:line="520" w:lineRule="exact"/>
              <w:jc w:val="right"/>
              <w:rPr>
                <w:rFonts w:hint="eastAsia"/>
                <w:w w:val="95"/>
                <w:lang w:eastAsia="zh-CN"/>
              </w:rPr>
            </w:pPr>
            <w:r>
              <w:rPr>
                <w:rFonts w:hint="eastAsia"/>
                <w:w w:val="95"/>
                <w:lang w:eastAsia="zh-CN"/>
              </w:rPr>
              <w:t>受评单位：</w:t>
            </w:r>
          </w:p>
        </w:tc>
        <w:tc>
          <w:tcPr>
            <w:tcW w:w="5583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pStyle w:val="2"/>
              <w:spacing w:before="4" w:line="520" w:lineRule="exact"/>
              <w:rPr>
                <w:rFonts w:hint="eastAsia"/>
                <w:w w:val="95"/>
                <w:lang w:eastAsia="zh-CN"/>
              </w:rPr>
            </w:pPr>
            <w:r>
              <w:rPr>
                <w:rFonts w:hint="eastAsia"/>
                <w:w w:val="95"/>
                <w:lang w:eastAsia="zh-CN"/>
              </w:rPr>
              <w:t xml:space="preserve">邵东市农业农村局                  </w:t>
            </w:r>
          </w:p>
        </w:tc>
      </w:tr>
    </w:tbl>
    <w:p>
      <w:pPr>
        <w:pStyle w:val="2"/>
        <w:spacing w:line="520" w:lineRule="exact"/>
        <w:rPr>
          <w:sz w:val="20"/>
        </w:rPr>
      </w:pPr>
    </w:p>
    <w:p>
      <w:pPr>
        <w:pStyle w:val="2"/>
        <w:spacing w:line="520" w:lineRule="exact"/>
        <w:rPr>
          <w:sz w:val="20"/>
        </w:rPr>
      </w:pPr>
    </w:p>
    <w:p>
      <w:pPr>
        <w:pStyle w:val="2"/>
        <w:spacing w:line="520" w:lineRule="exact"/>
        <w:rPr>
          <w:sz w:val="20"/>
        </w:rPr>
      </w:pPr>
    </w:p>
    <w:p>
      <w:pPr>
        <w:pStyle w:val="2"/>
        <w:spacing w:line="520" w:lineRule="exact"/>
        <w:rPr>
          <w:sz w:val="20"/>
        </w:rPr>
      </w:pPr>
    </w:p>
    <w:p>
      <w:pPr>
        <w:pStyle w:val="2"/>
        <w:spacing w:line="520" w:lineRule="exact"/>
        <w:rPr>
          <w:sz w:val="20"/>
        </w:rPr>
      </w:pPr>
    </w:p>
    <w:p>
      <w:pPr>
        <w:pStyle w:val="2"/>
        <w:spacing w:line="520" w:lineRule="exact"/>
        <w:rPr>
          <w:sz w:val="20"/>
        </w:rPr>
      </w:pPr>
    </w:p>
    <w:p>
      <w:pPr>
        <w:pStyle w:val="2"/>
        <w:spacing w:before="2" w:line="520" w:lineRule="exact"/>
        <w:rPr>
          <w:sz w:val="27"/>
        </w:rPr>
      </w:pPr>
    </w:p>
    <w:p>
      <w:pPr>
        <w:pStyle w:val="2"/>
        <w:spacing w:before="54" w:line="520" w:lineRule="exact"/>
        <w:ind w:left="69" w:right="40"/>
        <w:jc w:val="center"/>
      </w:pPr>
      <w:r>
        <w:t>二〇二</w:t>
      </w:r>
      <w:r>
        <w:rPr>
          <w:rFonts w:hint="eastAsia"/>
          <w:lang w:eastAsia="zh-CN"/>
        </w:rPr>
        <w:t>二</w:t>
      </w:r>
      <w:r>
        <w:t>年</w:t>
      </w:r>
      <w:r>
        <w:rPr>
          <w:rFonts w:hint="eastAsia"/>
          <w:lang w:eastAsia="zh-CN"/>
        </w:rPr>
        <w:t>十</w:t>
      </w:r>
      <w:r>
        <w:t>月</w:t>
      </w:r>
    </w:p>
    <w:p>
      <w:r>
        <w:br w:type="page"/>
      </w:r>
    </w:p>
    <w:sdt>
      <w:sdtPr>
        <w:rPr>
          <w:rFonts w:ascii="宋体" w:hAnsi="宋体" w:eastAsia="宋体" w:cstheme="minorBidi"/>
          <w:sz w:val="21"/>
          <w:szCs w:val="22"/>
          <w:lang w:val="en-US" w:eastAsia="en-US" w:bidi="ar-SA"/>
        </w:rPr>
        <w:id w:val="147474980"/>
        <w15:color w:val="DBDBDB"/>
        <w:docPartObj>
          <w:docPartGallery w:val="Table of Contents"/>
          <w:docPartUnique/>
        </w:docPartObj>
      </w:sdtPr>
      <w:sdtEndPr>
        <w:rPr>
          <w:rFonts w:ascii="宋体" w:hAnsi="宋体" w:eastAsia="宋体" w:cstheme="minorBidi"/>
          <w:b/>
          <w:sz w:val="21"/>
          <w:szCs w:val="22"/>
          <w:lang w:val="en-US" w:eastAsia="en-US" w:bidi="ar-SA"/>
        </w:rPr>
      </w:sdtEndPr>
      <w:sdtContent>
        <w:p>
          <w:pPr>
            <w:keepNext w:val="0"/>
            <w:keepLines w:val="0"/>
            <w:pageBreakBefore w:val="0"/>
            <w:widowControl/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before="0" w:beforeLines="0" w:after="0" w:afterLines="0" w:line="520" w:lineRule="exact"/>
            <w:ind w:left="0" w:leftChars="0" w:right="0" w:rightChars="0" w:firstLine="0" w:firstLineChars="0"/>
            <w:jc w:val="center"/>
            <w:textAlignment w:val="auto"/>
            <w:rPr>
              <w:b/>
              <w:bCs/>
              <w:sz w:val="30"/>
              <w:szCs w:val="30"/>
            </w:rPr>
          </w:pPr>
          <w:r>
            <w:rPr>
              <w:rFonts w:ascii="宋体" w:hAnsi="宋体" w:eastAsia="宋体"/>
              <w:b/>
              <w:bCs/>
              <w:sz w:val="30"/>
              <w:szCs w:val="30"/>
            </w:rPr>
            <w:t>目录</w:t>
          </w:r>
        </w:p>
        <w:p>
          <w:pPr>
            <w:pStyle w:val="28"/>
            <w:tabs>
              <w:tab w:val="right" w:leader="dot" w:pos="8985"/>
            </w:tabs>
          </w:pPr>
          <w:r>
            <w:fldChar w:fldCharType="begin"/>
          </w:r>
          <w:r>
            <w:instrText xml:space="preserve">TOC \o "1-2" \h \u </w:instrText>
          </w:r>
          <w:r>
            <w:fldChar w:fldCharType="separate"/>
          </w:r>
          <w:r>
            <w:fldChar w:fldCharType="begin"/>
          </w:r>
          <w:r>
            <w:instrText xml:space="preserve"> HYPERLINK \l _Toc8766 </w:instrText>
          </w:r>
          <w:r>
            <w:fldChar w:fldCharType="separate"/>
          </w:r>
          <w:r>
            <w:rPr>
              <w:rFonts w:hint="eastAsia" w:ascii="黑体" w:hAnsi="黑体" w:eastAsia="宋体" w:cs="黑体"/>
              <w:szCs w:val="28"/>
              <w:lang w:eastAsia="zh-CN"/>
            </w:rPr>
            <w:t xml:space="preserve">一、 </w:t>
          </w:r>
          <w:r>
            <w:rPr>
              <w:rFonts w:hint="eastAsia" w:ascii="黑体" w:hAnsi="黑体" w:eastAsia="黑体" w:cs="黑体"/>
              <w:szCs w:val="28"/>
            </w:rPr>
            <w:t>项目基本情况</w:t>
          </w:r>
          <w:r>
            <w:tab/>
          </w:r>
          <w:r>
            <w:fldChar w:fldCharType="begin"/>
          </w:r>
          <w:r>
            <w:instrText xml:space="preserve"> PAGEREF _Toc8766 \h </w:instrText>
          </w:r>
          <w:r>
            <w:fldChar w:fldCharType="separate"/>
          </w:r>
          <w:r>
            <w:t>3</w:t>
          </w:r>
          <w:r>
            <w:fldChar w:fldCharType="end"/>
          </w:r>
          <w:r>
            <w:fldChar w:fldCharType="end"/>
          </w:r>
        </w:p>
        <w:p>
          <w:pPr>
            <w:pStyle w:val="31"/>
            <w:tabs>
              <w:tab w:val="right" w:leader="dot" w:pos="8985"/>
            </w:tabs>
          </w:pPr>
          <w:r>
            <w:fldChar w:fldCharType="begin"/>
          </w:r>
          <w:r>
            <w:instrText xml:space="preserve"> HYPERLINK \l _Toc8183 </w:instrText>
          </w:r>
          <w:r>
            <w:fldChar w:fldCharType="separate"/>
          </w:r>
          <w:r>
            <w:rPr>
              <w:rFonts w:hint="eastAsia" w:ascii="楷体" w:hAnsi="楷体" w:eastAsia="楷体" w:cs="楷体"/>
              <w:bCs/>
              <w:szCs w:val="28"/>
              <w:lang w:eastAsia="zh-CN"/>
            </w:rPr>
            <w:t>（一）项目概况</w:t>
          </w:r>
          <w:r>
            <w:tab/>
          </w:r>
          <w:r>
            <w:fldChar w:fldCharType="begin"/>
          </w:r>
          <w:r>
            <w:instrText xml:space="preserve"> PAGEREF _Toc8183 \h </w:instrText>
          </w:r>
          <w:r>
            <w:fldChar w:fldCharType="separate"/>
          </w:r>
          <w:r>
            <w:t>3</w:t>
          </w:r>
          <w:r>
            <w:fldChar w:fldCharType="end"/>
          </w:r>
          <w:r>
            <w:fldChar w:fldCharType="end"/>
          </w:r>
        </w:p>
        <w:p>
          <w:pPr>
            <w:pStyle w:val="31"/>
            <w:tabs>
              <w:tab w:val="right" w:leader="dot" w:pos="8985"/>
            </w:tabs>
          </w:pPr>
          <w:r>
            <w:fldChar w:fldCharType="begin"/>
          </w:r>
          <w:r>
            <w:instrText xml:space="preserve"> HYPERLINK \l _Toc6594 </w:instrText>
          </w:r>
          <w:r>
            <w:fldChar w:fldCharType="separate"/>
          </w:r>
          <w:r>
            <w:rPr>
              <w:rFonts w:hint="eastAsia" w:ascii="楷体" w:hAnsi="楷体" w:eastAsia="楷体" w:cs="楷体"/>
              <w:bCs/>
              <w:szCs w:val="28"/>
            </w:rPr>
            <w:t>（二）项目实施内容及资立使用情况</w:t>
          </w:r>
          <w:r>
            <w:tab/>
          </w:r>
          <w:r>
            <w:fldChar w:fldCharType="begin"/>
          </w:r>
          <w:r>
            <w:instrText xml:space="preserve"> PAGEREF _Toc6594 \h </w:instrText>
          </w:r>
          <w:r>
            <w:fldChar w:fldCharType="separate"/>
          </w:r>
          <w:r>
            <w:t>3</w:t>
          </w:r>
          <w:r>
            <w:fldChar w:fldCharType="end"/>
          </w:r>
          <w:r>
            <w:fldChar w:fldCharType="end"/>
          </w:r>
        </w:p>
        <w:p>
          <w:pPr>
            <w:pStyle w:val="31"/>
            <w:tabs>
              <w:tab w:val="right" w:leader="dot" w:pos="8985"/>
            </w:tabs>
          </w:pPr>
          <w:r>
            <w:fldChar w:fldCharType="begin"/>
          </w:r>
          <w:r>
            <w:instrText xml:space="preserve"> HYPERLINK \l _Toc17137 </w:instrText>
          </w:r>
          <w:r>
            <w:fldChar w:fldCharType="separate"/>
          </w:r>
          <w:r>
            <w:rPr>
              <w:rFonts w:hint="eastAsia" w:ascii="楷体" w:hAnsi="楷体" w:eastAsia="楷体" w:cs="楷体"/>
              <w:bCs/>
              <w:szCs w:val="28"/>
              <w:lang w:eastAsia="zh-CN"/>
            </w:rPr>
            <w:t>（三）项目绩效目标</w:t>
          </w:r>
          <w:r>
            <w:tab/>
          </w:r>
          <w:r>
            <w:fldChar w:fldCharType="begin"/>
          </w:r>
          <w:r>
            <w:instrText xml:space="preserve"> PAGEREF _Toc17137 \h </w:instrText>
          </w:r>
          <w:r>
            <w:fldChar w:fldCharType="separate"/>
          </w:r>
          <w:r>
            <w:t>4</w:t>
          </w:r>
          <w:r>
            <w:fldChar w:fldCharType="end"/>
          </w:r>
          <w:r>
            <w:fldChar w:fldCharType="end"/>
          </w:r>
        </w:p>
        <w:p>
          <w:pPr>
            <w:pStyle w:val="28"/>
            <w:tabs>
              <w:tab w:val="right" w:leader="dot" w:pos="8985"/>
            </w:tabs>
          </w:pPr>
          <w:r>
            <w:fldChar w:fldCharType="begin"/>
          </w:r>
          <w:r>
            <w:instrText xml:space="preserve"> HYPERLINK \l _Toc30050 </w:instrText>
          </w:r>
          <w:r>
            <w:fldChar w:fldCharType="separate"/>
          </w:r>
          <w:r>
            <w:rPr>
              <w:rFonts w:hint="eastAsia" w:ascii="黑体" w:hAnsi="黑体" w:eastAsia="黑体" w:cs="黑体"/>
              <w:szCs w:val="28"/>
            </w:rPr>
            <w:t>二、绩效评价工作情况</w:t>
          </w:r>
          <w:r>
            <w:tab/>
          </w:r>
          <w:r>
            <w:fldChar w:fldCharType="begin"/>
          </w:r>
          <w:r>
            <w:instrText xml:space="preserve"> PAGEREF _Toc30050 \h </w:instrText>
          </w:r>
          <w:r>
            <w:fldChar w:fldCharType="separate"/>
          </w:r>
          <w:r>
            <w:t>5</w:t>
          </w:r>
          <w:r>
            <w:fldChar w:fldCharType="end"/>
          </w:r>
          <w:r>
            <w:fldChar w:fldCharType="end"/>
          </w:r>
        </w:p>
        <w:p>
          <w:pPr>
            <w:pStyle w:val="31"/>
            <w:tabs>
              <w:tab w:val="right" w:leader="dot" w:pos="8985"/>
            </w:tabs>
          </w:pPr>
          <w:r>
            <w:fldChar w:fldCharType="begin"/>
          </w:r>
          <w:r>
            <w:instrText xml:space="preserve"> HYPERLINK \l _Toc16133 </w:instrText>
          </w:r>
          <w:r>
            <w:fldChar w:fldCharType="separate"/>
          </w:r>
          <w:r>
            <w:rPr>
              <w:rFonts w:hint="eastAsia" w:ascii="楷体" w:hAnsi="楷体" w:eastAsia="楷体" w:cs="楷体"/>
              <w:bCs/>
              <w:szCs w:val="28"/>
              <w:lang w:val="en-US" w:eastAsia="zh-CN"/>
            </w:rPr>
            <w:t>（一）绩效评价依据</w:t>
          </w:r>
          <w:r>
            <w:tab/>
          </w:r>
          <w:r>
            <w:fldChar w:fldCharType="begin"/>
          </w:r>
          <w:r>
            <w:instrText xml:space="preserve"> PAGEREF _Toc16133 \h </w:instrText>
          </w:r>
          <w:r>
            <w:fldChar w:fldCharType="separate"/>
          </w:r>
          <w:r>
            <w:t>5</w:t>
          </w:r>
          <w:r>
            <w:fldChar w:fldCharType="end"/>
          </w:r>
          <w:r>
            <w:fldChar w:fldCharType="end"/>
          </w:r>
        </w:p>
        <w:p>
          <w:pPr>
            <w:pStyle w:val="31"/>
            <w:tabs>
              <w:tab w:val="right" w:leader="dot" w:pos="8985"/>
            </w:tabs>
          </w:pPr>
          <w:r>
            <w:fldChar w:fldCharType="begin"/>
          </w:r>
          <w:r>
            <w:instrText xml:space="preserve"> HYPERLINK \l _Toc15976 </w:instrText>
          </w:r>
          <w:r>
            <w:fldChar w:fldCharType="separate"/>
          </w:r>
          <w:r>
            <w:rPr>
              <w:rFonts w:hint="eastAsia" w:ascii="楷体" w:hAnsi="楷体" w:eastAsia="楷体" w:cs="楷体"/>
              <w:bCs/>
              <w:szCs w:val="28"/>
              <w:lang w:val="en-US" w:eastAsia="zh-CN"/>
            </w:rPr>
            <w:t>（二）绩效评价的基本内容</w:t>
          </w:r>
          <w:r>
            <w:tab/>
          </w:r>
          <w:r>
            <w:fldChar w:fldCharType="begin"/>
          </w:r>
          <w:r>
            <w:instrText xml:space="preserve"> PAGEREF _Toc15976 \h </w:instrText>
          </w:r>
          <w:r>
            <w:fldChar w:fldCharType="separate"/>
          </w:r>
          <w:r>
            <w:t>5</w:t>
          </w:r>
          <w:r>
            <w:fldChar w:fldCharType="end"/>
          </w:r>
          <w:r>
            <w:fldChar w:fldCharType="end"/>
          </w:r>
        </w:p>
        <w:p>
          <w:pPr>
            <w:pStyle w:val="31"/>
            <w:tabs>
              <w:tab w:val="right" w:leader="dot" w:pos="8985"/>
            </w:tabs>
          </w:pPr>
          <w:r>
            <w:fldChar w:fldCharType="begin"/>
          </w:r>
          <w:r>
            <w:instrText xml:space="preserve"> HYPERLINK \l _Toc28102 </w:instrText>
          </w:r>
          <w:r>
            <w:fldChar w:fldCharType="separate"/>
          </w:r>
          <w:r>
            <w:rPr>
              <w:rFonts w:hint="eastAsia" w:ascii="楷体" w:hAnsi="楷体" w:eastAsia="楷体" w:cs="楷体"/>
              <w:bCs/>
              <w:szCs w:val="28"/>
              <w:lang w:val="en-US" w:eastAsia="zh-CN"/>
            </w:rPr>
            <w:t>（三）绩效评价原则</w:t>
          </w:r>
          <w:r>
            <w:tab/>
          </w:r>
          <w:r>
            <w:fldChar w:fldCharType="begin"/>
          </w:r>
          <w:r>
            <w:instrText xml:space="preserve"> PAGEREF _Toc28102 \h </w:instrText>
          </w:r>
          <w:r>
            <w:fldChar w:fldCharType="separate"/>
          </w:r>
          <w:r>
            <w:t>6</w:t>
          </w:r>
          <w:r>
            <w:fldChar w:fldCharType="end"/>
          </w:r>
          <w:r>
            <w:fldChar w:fldCharType="end"/>
          </w:r>
        </w:p>
        <w:p>
          <w:pPr>
            <w:pStyle w:val="31"/>
            <w:tabs>
              <w:tab w:val="right" w:leader="dot" w:pos="8985"/>
            </w:tabs>
          </w:pPr>
          <w:r>
            <w:fldChar w:fldCharType="begin"/>
          </w:r>
          <w:r>
            <w:instrText xml:space="preserve"> HYPERLINK \l _Toc20426 </w:instrText>
          </w:r>
          <w:r>
            <w:fldChar w:fldCharType="separate"/>
          </w:r>
          <w:r>
            <w:rPr>
              <w:rFonts w:hint="eastAsia" w:ascii="楷体" w:hAnsi="楷体" w:eastAsia="楷体" w:cs="楷体"/>
              <w:bCs/>
              <w:szCs w:val="28"/>
              <w:lang w:val="en-US" w:eastAsia="zh-CN"/>
            </w:rPr>
            <w:t>（四）绩效评价指标体系</w:t>
          </w:r>
          <w:r>
            <w:tab/>
          </w:r>
          <w:r>
            <w:fldChar w:fldCharType="begin"/>
          </w:r>
          <w:r>
            <w:instrText xml:space="preserve"> PAGEREF _Toc20426 \h </w:instrText>
          </w:r>
          <w:r>
            <w:fldChar w:fldCharType="separate"/>
          </w:r>
          <w:r>
            <w:t>6</w:t>
          </w:r>
          <w:r>
            <w:fldChar w:fldCharType="end"/>
          </w:r>
          <w:r>
            <w:fldChar w:fldCharType="end"/>
          </w:r>
        </w:p>
        <w:p>
          <w:pPr>
            <w:pStyle w:val="31"/>
            <w:tabs>
              <w:tab w:val="right" w:leader="dot" w:pos="8985"/>
            </w:tabs>
          </w:pPr>
          <w:r>
            <w:fldChar w:fldCharType="begin"/>
          </w:r>
          <w:r>
            <w:instrText xml:space="preserve"> HYPERLINK \l _Toc12119 </w:instrText>
          </w:r>
          <w:r>
            <w:fldChar w:fldCharType="separate"/>
          </w:r>
          <w:r>
            <w:rPr>
              <w:rFonts w:hint="eastAsia" w:ascii="楷体" w:hAnsi="楷体" w:eastAsia="楷体" w:cs="楷体"/>
              <w:bCs/>
              <w:szCs w:val="28"/>
              <w:lang w:val="en-US" w:eastAsia="zh-CN"/>
            </w:rPr>
            <w:t>（五）开展项目现场评价</w:t>
          </w:r>
          <w:r>
            <w:tab/>
          </w:r>
          <w:r>
            <w:fldChar w:fldCharType="begin"/>
          </w:r>
          <w:r>
            <w:instrText xml:space="preserve"> PAGEREF _Toc12119 \h </w:instrText>
          </w:r>
          <w:r>
            <w:fldChar w:fldCharType="separate"/>
          </w:r>
          <w:r>
            <w:t>7</w:t>
          </w:r>
          <w:r>
            <w:fldChar w:fldCharType="end"/>
          </w:r>
          <w:r>
            <w:fldChar w:fldCharType="end"/>
          </w:r>
        </w:p>
        <w:p>
          <w:pPr>
            <w:pStyle w:val="28"/>
            <w:tabs>
              <w:tab w:val="right" w:leader="dot" w:pos="8985"/>
            </w:tabs>
          </w:pPr>
          <w:r>
            <w:fldChar w:fldCharType="begin"/>
          </w:r>
          <w:r>
            <w:instrText xml:space="preserve"> HYPERLINK \l _Toc15890 </w:instrText>
          </w:r>
          <w:r>
            <w:fldChar w:fldCharType="separate"/>
          </w:r>
          <w:r>
            <w:rPr>
              <w:rFonts w:hint="eastAsia" w:ascii="黑体" w:hAnsi="黑体" w:eastAsia="黑体" w:cs="黑体"/>
              <w:kern w:val="2"/>
              <w:szCs w:val="28"/>
              <w:lang w:eastAsia="zh-CN"/>
            </w:rPr>
            <w:t>三、绩效评价指标分析</w:t>
          </w:r>
          <w:r>
            <w:tab/>
          </w:r>
          <w:r>
            <w:fldChar w:fldCharType="begin"/>
          </w:r>
          <w:r>
            <w:instrText xml:space="preserve"> PAGEREF _Toc15890 \h </w:instrText>
          </w:r>
          <w:r>
            <w:fldChar w:fldCharType="separate"/>
          </w:r>
          <w:r>
            <w:t>7</w:t>
          </w:r>
          <w:r>
            <w:fldChar w:fldCharType="end"/>
          </w:r>
          <w:r>
            <w:fldChar w:fldCharType="end"/>
          </w:r>
        </w:p>
        <w:p>
          <w:pPr>
            <w:pStyle w:val="31"/>
            <w:tabs>
              <w:tab w:val="right" w:leader="dot" w:pos="8985"/>
            </w:tabs>
          </w:pPr>
          <w:r>
            <w:fldChar w:fldCharType="begin"/>
          </w:r>
          <w:r>
            <w:instrText xml:space="preserve"> HYPERLINK \l _Toc3883 </w:instrText>
          </w:r>
          <w:r>
            <w:fldChar w:fldCharType="separate"/>
          </w:r>
          <w:r>
            <w:rPr>
              <w:rFonts w:hint="eastAsia" w:ascii="楷体" w:hAnsi="楷体" w:eastAsia="楷体" w:cs="楷体"/>
              <w:bCs/>
              <w:kern w:val="2"/>
              <w:szCs w:val="28"/>
              <w:lang w:eastAsia="zh-CN"/>
            </w:rPr>
            <w:t>（一）项目决策情况</w:t>
          </w:r>
          <w:r>
            <w:tab/>
          </w:r>
          <w:r>
            <w:fldChar w:fldCharType="begin"/>
          </w:r>
          <w:r>
            <w:instrText xml:space="preserve"> PAGEREF _Toc3883 \h </w:instrText>
          </w:r>
          <w:r>
            <w:fldChar w:fldCharType="separate"/>
          </w:r>
          <w:r>
            <w:t>7</w:t>
          </w:r>
          <w:r>
            <w:fldChar w:fldCharType="end"/>
          </w:r>
          <w:r>
            <w:fldChar w:fldCharType="end"/>
          </w:r>
        </w:p>
        <w:p>
          <w:pPr>
            <w:pStyle w:val="31"/>
            <w:tabs>
              <w:tab w:val="right" w:leader="dot" w:pos="8985"/>
            </w:tabs>
          </w:pPr>
          <w:r>
            <w:fldChar w:fldCharType="begin"/>
          </w:r>
          <w:r>
            <w:instrText xml:space="preserve"> HYPERLINK \l _Toc21432 </w:instrText>
          </w:r>
          <w:r>
            <w:fldChar w:fldCharType="separate"/>
          </w:r>
          <w:r>
            <w:rPr>
              <w:rFonts w:hint="eastAsia" w:ascii="楷体" w:hAnsi="楷体" w:eastAsia="楷体" w:cs="楷体"/>
              <w:bCs/>
              <w:kern w:val="2"/>
              <w:szCs w:val="28"/>
              <w:lang w:eastAsia="zh-CN"/>
            </w:rPr>
            <w:t>（二）</w:t>
          </w:r>
          <w:bookmarkStart w:id="36" w:name="_GoBack"/>
          <w:bookmarkEnd w:id="36"/>
          <w:r>
            <w:rPr>
              <w:rFonts w:hint="eastAsia" w:ascii="楷体" w:hAnsi="楷体" w:eastAsia="楷体" w:cs="楷体"/>
              <w:bCs/>
              <w:kern w:val="2"/>
              <w:szCs w:val="28"/>
              <w:lang w:eastAsia="zh-CN"/>
            </w:rPr>
            <w:t>项目过程情况</w:t>
          </w:r>
          <w:r>
            <w:tab/>
          </w:r>
          <w:r>
            <w:fldChar w:fldCharType="begin"/>
          </w:r>
          <w:r>
            <w:instrText xml:space="preserve"> PAGEREF _Toc21432 \h </w:instrText>
          </w:r>
          <w:r>
            <w:fldChar w:fldCharType="separate"/>
          </w:r>
          <w:r>
            <w:t>8</w:t>
          </w:r>
          <w:r>
            <w:fldChar w:fldCharType="end"/>
          </w:r>
          <w:r>
            <w:fldChar w:fldCharType="end"/>
          </w:r>
        </w:p>
        <w:p>
          <w:pPr>
            <w:pStyle w:val="31"/>
            <w:tabs>
              <w:tab w:val="right" w:leader="dot" w:pos="8985"/>
            </w:tabs>
          </w:pPr>
          <w:r>
            <w:fldChar w:fldCharType="begin"/>
          </w:r>
          <w:r>
            <w:instrText xml:space="preserve"> HYPERLINK \l _Toc3961 </w:instrText>
          </w:r>
          <w:r>
            <w:fldChar w:fldCharType="separate"/>
          </w:r>
          <w:r>
            <w:rPr>
              <w:rFonts w:hint="eastAsia" w:ascii="楷体" w:hAnsi="楷体" w:eastAsia="楷体" w:cs="楷体"/>
              <w:bCs/>
              <w:kern w:val="2"/>
              <w:szCs w:val="28"/>
              <w:lang w:eastAsia="zh-CN"/>
            </w:rPr>
            <w:t>（三）项目产出情况</w:t>
          </w:r>
          <w:r>
            <w:tab/>
          </w:r>
          <w:r>
            <w:fldChar w:fldCharType="begin"/>
          </w:r>
          <w:r>
            <w:instrText xml:space="preserve"> PAGEREF _Toc3961 \h </w:instrText>
          </w:r>
          <w:r>
            <w:fldChar w:fldCharType="separate"/>
          </w:r>
          <w:r>
            <w:t>9</w:t>
          </w:r>
          <w:r>
            <w:fldChar w:fldCharType="end"/>
          </w:r>
          <w:r>
            <w:fldChar w:fldCharType="end"/>
          </w:r>
        </w:p>
        <w:p>
          <w:pPr>
            <w:pStyle w:val="31"/>
            <w:tabs>
              <w:tab w:val="right" w:leader="dot" w:pos="8985"/>
            </w:tabs>
          </w:pPr>
          <w:r>
            <w:fldChar w:fldCharType="begin"/>
          </w:r>
          <w:r>
            <w:instrText xml:space="preserve"> HYPERLINK \l _Toc27944 </w:instrText>
          </w:r>
          <w:r>
            <w:fldChar w:fldCharType="separate"/>
          </w:r>
          <w:r>
            <w:rPr>
              <w:rFonts w:hint="eastAsia" w:ascii="楷体" w:hAnsi="楷体" w:eastAsia="楷体" w:cs="楷体"/>
              <w:bCs/>
              <w:kern w:val="2"/>
              <w:szCs w:val="28"/>
              <w:lang w:eastAsia="zh-CN"/>
            </w:rPr>
            <w:t>（四）项目效益</w:t>
          </w:r>
          <w:r>
            <w:tab/>
          </w:r>
          <w:r>
            <w:fldChar w:fldCharType="begin"/>
          </w:r>
          <w:r>
            <w:instrText xml:space="preserve"> PAGEREF _Toc27944 \h </w:instrText>
          </w:r>
          <w:r>
            <w:fldChar w:fldCharType="separate"/>
          </w:r>
          <w:r>
            <w:t>9</w:t>
          </w:r>
          <w:r>
            <w:fldChar w:fldCharType="end"/>
          </w:r>
          <w:r>
            <w:fldChar w:fldCharType="end"/>
          </w:r>
        </w:p>
        <w:p>
          <w:pPr>
            <w:pStyle w:val="31"/>
            <w:tabs>
              <w:tab w:val="right" w:leader="dot" w:pos="8985"/>
            </w:tabs>
          </w:pPr>
          <w:r>
            <w:fldChar w:fldCharType="begin"/>
          </w:r>
          <w:r>
            <w:instrText xml:space="preserve"> HYPERLINK \l _Toc22962 </w:instrText>
          </w:r>
          <w:r>
            <w:fldChar w:fldCharType="separate"/>
          </w:r>
          <w:r>
            <w:rPr>
              <w:rFonts w:hint="eastAsia" w:ascii="楷体" w:hAnsi="楷体" w:eastAsia="楷体" w:cs="楷体"/>
              <w:bCs/>
              <w:kern w:val="2"/>
              <w:szCs w:val="28"/>
              <w:lang w:eastAsia="zh-CN"/>
            </w:rPr>
            <w:t>（五）综合评价情况及评价结论</w:t>
          </w:r>
          <w:r>
            <w:tab/>
          </w:r>
          <w:r>
            <w:fldChar w:fldCharType="begin"/>
          </w:r>
          <w:r>
            <w:instrText xml:space="preserve"> PAGEREF _Toc22962 \h </w:instrText>
          </w:r>
          <w:r>
            <w:fldChar w:fldCharType="separate"/>
          </w:r>
          <w:r>
            <w:t>10</w:t>
          </w:r>
          <w:r>
            <w:fldChar w:fldCharType="end"/>
          </w:r>
          <w:r>
            <w:fldChar w:fldCharType="end"/>
          </w:r>
        </w:p>
        <w:p>
          <w:pPr>
            <w:pStyle w:val="28"/>
            <w:tabs>
              <w:tab w:val="right" w:leader="dot" w:pos="8985"/>
            </w:tabs>
          </w:pPr>
          <w:r>
            <w:fldChar w:fldCharType="begin"/>
          </w:r>
          <w:r>
            <w:instrText xml:space="preserve"> HYPERLINK \l _Toc6659 </w:instrText>
          </w:r>
          <w:r>
            <w:fldChar w:fldCharType="separate"/>
          </w:r>
          <w:r>
            <w:rPr>
              <w:rFonts w:hint="eastAsia" w:ascii="楷体" w:hAnsi="楷体" w:eastAsia="楷体" w:cs="楷体"/>
              <w:bCs/>
              <w:kern w:val="2"/>
              <w:szCs w:val="28"/>
              <w:lang w:eastAsia="zh-CN"/>
            </w:rPr>
            <w:t>四、存在的问题及原因分析</w:t>
          </w:r>
          <w:r>
            <w:tab/>
          </w:r>
          <w:r>
            <w:fldChar w:fldCharType="begin"/>
          </w:r>
          <w:r>
            <w:instrText xml:space="preserve"> PAGEREF _Toc6659 \h </w:instrText>
          </w:r>
          <w:r>
            <w:fldChar w:fldCharType="separate"/>
          </w:r>
          <w:r>
            <w:t>11</w:t>
          </w:r>
          <w:r>
            <w:fldChar w:fldCharType="end"/>
          </w:r>
          <w:r>
            <w:fldChar w:fldCharType="end"/>
          </w:r>
        </w:p>
        <w:p>
          <w:pPr>
            <w:pStyle w:val="31"/>
            <w:tabs>
              <w:tab w:val="right" w:leader="dot" w:pos="8985"/>
            </w:tabs>
          </w:pPr>
          <w:r>
            <w:fldChar w:fldCharType="begin"/>
          </w:r>
          <w:r>
            <w:instrText xml:space="preserve"> HYPERLINK \l _Toc17206 </w:instrText>
          </w:r>
          <w:r>
            <w:fldChar w:fldCharType="separate"/>
          </w:r>
          <w:r>
            <w:rPr>
              <w:rFonts w:hint="eastAsia" w:ascii="楷体" w:hAnsi="楷体" w:eastAsia="楷体" w:cs="楷体"/>
              <w:bCs/>
              <w:kern w:val="2"/>
              <w:szCs w:val="28"/>
              <w:lang w:eastAsia="zh-CN"/>
            </w:rPr>
            <w:t>（一）存在的问题</w:t>
          </w:r>
          <w:r>
            <w:tab/>
          </w:r>
          <w:r>
            <w:fldChar w:fldCharType="begin"/>
          </w:r>
          <w:r>
            <w:instrText xml:space="preserve"> PAGEREF _Toc17206 \h </w:instrText>
          </w:r>
          <w:r>
            <w:fldChar w:fldCharType="separate"/>
          </w:r>
          <w:r>
            <w:t>11</w:t>
          </w:r>
          <w:r>
            <w:fldChar w:fldCharType="end"/>
          </w:r>
          <w:r>
            <w:fldChar w:fldCharType="end"/>
          </w:r>
        </w:p>
        <w:p>
          <w:pPr>
            <w:pStyle w:val="31"/>
            <w:tabs>
              <w:tab w:val="right" w:leader="dot" w:pos="8985"/>
            </w:tabs>
          </w:pPr>
          <w:r>
            <w:fldChar w:fldCharType="begin"/>
          </w:r>
          <w:r>
            <w:instrText xml:space="preserve"> HYPERLINK \l _Toc21853 </w:instrText>
          </w:r>
          <w:r>
            <w:fldChar w:fldCharType="separate"/>
          </w:r>
          <w:r>
            <w:rPr>
              <w:rFonts w:hint="eastAsia" w:ascii="楷体" w:hAnsi="楷体" w:eastAsia="楷体" w:cs="楷体"/>
              <w:bCs/>
              <w:kern w:val="2"/>
              <w:szCs w:val="28"/>
              <w:lang w:eastAsia="zh-CN"/>
            </w:rPr>
            <w:t>（二）有关建议</w:t>
          </w:r>
          <w:r>
            <w:tab/>
          </w:r>
          <w:r>
            <w:fldChar w:fldCharType="begin"/>
          </w:r>
          <w:r>
            <w:instrText xml:space="preserve"> PAGEREF _Toc21853 \h </w:instrText>
          </w:r>
          <w:r>
            <w:fldChar w:fldCharType="separate"/>
          </w:r>
          <w:r>
            <w:t>12</w:t>
          </w:r>
          <w:r>
            <w:fldChar w:fldCharType="end"/>
          </w:r>
          <w:r>
            <w:fldChar w:fldCharType="end"/>
          </w:r>
        </w:p>
        <w:p>
          <w:pPr>
            <w:pStyle w:val="28"/>
            <w:tabs>
              <w:tab w:val="right" w:leader="dot" w:pos="8985"/>
            </w:tabs>
          </w:pPr>
          <w:r>
            <w:fldChar w:fldCharType="begin"/>
          </w:r>
          <w:r>
            <w:instrText xml:space="preserve"> HYPERLINK \l _Toc20758 </w:instrText>
          </w:r>
          <w:r>
            <w:fldChar w:fldCharType="separate"/>
          </w:r>
          <w:r>
            <w:rPr>
              <w:rFonts w:hint="eastAsia" w:ascii="Times New Roman" w:hAnsi="Times New Roman" w:eastAsia="仿宋_GB2312" w:cs="Times New Roman"/>
              <w:kern w:val="2"/>
              <w:szCs w:val="28"/>
              <w:lang w:eastAsia="zh-CN"/>
            </w:rPr>
            <w:t>附件</w:t>
          </w:r>
          <w:r>
            <w:rPr>
              <w:rFonts w:hint="eastAsia" w:ascii="Times New Roman" w:hAnsi="Times New Roman" w:eastAsia="仿宋_GB2312" w:cs="Times New Roman"/>
              <w:kern w:val="2"/>
              <w:szCs w:val="28"/>
              <w:lang w:val="en-US" w:eastAsia="zh-CN"/>
            </w:rPr>
            <w:t>1</w:t>
          </w:r>
          <w:r>
            <w:rPr>
              <w:rFonts w:hint="eastAsia" w:ascii="Times New Roman" w:hAnsi="Times New Roman" w:eastAsia="仿宋_GB2312" w:cs="Times New Roman"/>
              <w:kern w:val="2"/>
              <w:szCs w:val="28"/>
              <w:lang w:eastAsia="zh-CN"/>
            </w:rPr>
            <w:t>：邵东市农业农村局2021年种子采购项目绩效评价指标评分表</w:t>
          </w:r>
          <w:r>
            <w:tab/>
          </w:r>
          <w:r>
            <w:fldChar w:fldCharType="begin"/>
          </w:r>
          <w:r>
            <w:instrText xml:space="preserve"> PAGEREF _Toc20758 \h </w:instrText>
          </w:r>
          <w:r>
            <w:fldChar w:fldCharType="separate"/>
          </w:r>
          <w:r>
            <w:t>13</w:t>
          </w:r>
          <w:r>
            <w:fldChar w:fldCharType="end"/>
          </w:r>
          <w:r>
            <w:fldChar w:fldCharType="end"/>
          </w:r>
        </w:p>
        <w:p>
          <w:pPr>
            <w:keepNext w:val="0"/>
            <w:keepLines w:val="0"/>
            <w:pageBreakBefore w:val="0"/>
            <w:widowControl/>
            <w:kinsoku/>
            <w:wordWrap/>
            <w:overflowPunct/>
            <w:topLinePunct w:val="0"/>
            <w:autoSpaceDE/>
            <w:autoSpaceDN/>
            <w:bidi w:val="0"/>
            <w:adjustRightInd/>
            <w:snapToGrid/>
            <w:spacing w:line="520" w:lineRule="exact"/>
            <w:textAlignment w:val="auto"/>
            <w:rPr>
              <w:rFonts w:ascii="宋体" w:hAnsi="宋体" w:eastAsia="宋体" w:cstheme="minorBidi"/>
              <w:b/>
              <w:sz w:val="21"/>
              <w:szCs w:val="22"/>
              <w:lang w:val="en-US" w:eastAsia="en-US" w:bidi="ar-SA"/>
            </w:rPr>
          </w:pPr>
          <w:r>
            <w:fldChar w:fldCharType="end"/>
          </w:r>
        </w:p>
      </w:sdtContent>
    </w:sdt>
    <w:p>
      <w:pPr>
        <w:pStyle w:val="2"/>
        <w:sectPr>
          <w:footerReference r:id="rId3" w:type="default"/>
          <w:pgSz w:w="11911" w:h="16838"/>
          <w:pgMar w:top="1519" w:right="1463" w:bottom="1179" w:left="1463" w:header="0" w:footer="986" w:gutter="0"/>
          <w:pgNumType w:fmt="decimal"/>
          <w:cols w:space="720" w:num="1"/>
        </w:sectPr>
      </w:pPr>
    </w:p>
    <w:p>
      <w:pPr>
        <w:widowControl w:val="0"/>
        <w:spacing w:before="0" w:line="520" w:lineRule="exact"/>
        <w:jc w:val="center"/>
        <w:outlineLvl w:val="9"/>
        <w:rPr>
          <w:rFonts w:ascii="方正小标宋简体" w:hAnsi="方正小标宋简体" w:eastAsia="方正小标宋简体" w:cs="Times New Roman"/>
          <w:b w:val="0"/>
          <w:bCs w:val="0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Times New Roman"/>
          <w:b w:val="0"/>
          <w:bCs w:val="0"/>
          <w:sz w:val="36"/>
          <w:szCs w:val="36"/>
          <w:lang w:eastAsia="zh-CN"/>
        </w:rPr>
        <w:t>邵东市农业农村局2021年种子采购资金项目</w:t>
      </w:r>
    </w:p>
    <w:p>
      <w:pPr>
        <w:pStyle w:val="2"/>
        <w:spacing w:after="0" w:line="520" w:lineRule="exact"/>
        <w:jc w:val="center"/>
        <w:outlineLvl w:val="9"/>
        <w:rPr>
          <w:rFonts w:ascii="方正小标宋简体" w:hAnsi="方正小标宋简体" w:eastAsia="方正小标宋简体" w:cs="Times New Roman"/>
          <w:b/>
          <w:bCs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Times New Roman"/>
          <w:b/>
          <w:bCs/>
          <w:sz w:val="36"/>
          <w:szCs w:val="36"/>
          <w:lang w:eastAsia="zh-CN"/>
        </w:rPr>
        <w:t>绩效评价报告</w:t>
      </w:r>
    </w:p>
    <w:p>
      <w:pPr>
        <w:pStyle w:val="2"/>
        <w:spacing w:after="0" w:line="520" w:lineRule="exact"/>
        <w:jc w:val="center"/>
        <w:rPr>
          <w:rFonts w:ascii="方正小标宋简体" w:hAnsi="方正小标宋简体" w:eastAsia="方正小标宋简体" w:cs="Times New Roman"/>
          <w:b/>
          <w:bCs/>
          <w:sz w:val="44"/>
          <w:szCs w:val="44"/>
          <w:lang w:eastAsia="zh-CN"/>
        </w:rPr>
      </w:pPr>
    </w:p>
    <w:p>
      <w:pPr>
        <w:pStyle w:val="1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ascii="Times New Roman" w:hAnsi="Times New Roman" w:eastAsia="仿宋_GB2312" w:cs="Times New Roman"/>
          <w:kern w:val="2"/>
          <w:sz w:val="28"/>
          <w:szCs w:val="28"/>
          <w:lang w:eastAsia="zh-CN"/>
        </w:rPr>
      </w:pPr>
      <w:r>
        <w:rPr>
          <w:rFonts w:hint="eastAsia" w:ascii="Times New Roman" w:hAnsi="Times New Roman" w:eastAsia="仿宋_GB2312" w:cs="Times New Roman"/>
          <w:kern w:val="2"/>
          <w:sz w:val="28"/>
          <w:szCs w:val="28"/>
          <w:lang w:eastAsia="zh-CN"/>
        </w:rPr>
        <w:t>根据《中华人民共和国预算法》《中共中央国务院关于全面实施预算绩效管理的意见》（中发</w:t>
      </w:r>
      <w:r>
        <w:rPr>
          <w:rFonts w:ascii="Times New Roman" w:hAnsi="Times New Roman" w:eastAsia="仿宋_GB2312" w:cs="Times New Roman"/>
          <w:kern w:val="2"/>
          <w:sz w:val="28"/>
          <w:szCs w:val="28"/>
          <w:lang w:eastAsia="zh-CN"/>
        </w:rPr>
        <w:t>〔2018〕34</w:t>
      </w:r>
      <w:r>
        <w:rPr>
          <w:rFonts w:hint="eastAsia" w:ascii="Times New Roman" w:hAnsi="Times New Roman" w:eastAsia="仿宋_GB2312" w:cs="Times New Roman"/>
          <w:kern w:val="2"/>
          <w:sz w:val="28"/>
          <w:szCs w:val="28"/>
          <w:lang w:eastAsia="zh-CN"/>
        </w:rPr>
        <w:t>号）、《中共湖南省委办公厅 湖南省人民政府办公 厅关于全面实施预算绩效管理的实施意见》（湘办发〔</w:t>
      </w:r>
      <w:r>
        <w:rPr>
          <w:rFonts w:ascii="Times New Roman" w:hAnsi="Times New Roman" w:eastAsia="仿宋_GB2312" w:cs="Times New Roman"/>
          <w:kern w:val="2"/>
          <w:sz w:val="28"/>
          <w:szCs w:val="28"/>
          <w:lang w:eastAsia="zh-CN"/>
        </w:rPr>
        <w:t>2019</w:t>
      </w:r>
      <w:r>
        <w:rPr>
          <w:rFonts w:hint="eastAsia" w:ascii="Times New Roman" w:hAnsi="Times New Roman" w:eastAsia="仿宋_GB2312" w:cs="Times New Roman"/>
          <w:kern w:val="2"/>
          <w:sz w:val="28"/>
          <w:szCs w:val="28"/>
          <w:lang w:eastAsia="zh-CN"/>
        </w:rPr>
        <w:t>〕</w:t>
      </w:r>
      <w:r>
        <w:rPr>
          <w:rFonts w:ascii="Times New Roman" w:hAnsi="Times New Roman" w:eastAsia="仿宋_GB2312" w:cs="Times New Roman"/>
          <w:kern w:val="2"/>
          <w:sz w:val="28"/>
          <w:szCs w:val="28"/>
          <w:lang w:eastAsia="zh-CN"/>
        </w:rPr>
        <w:t>10</w:t>
      </w:r>
      <w:r>
        <w:rPr>
          <w:rFonts w:hint="eastAsia" w:ascii="Times New Roman" w:hAnsi="Times New Roman" w:eastAsia="仿宋_GB2312" w:cs="Times New Roman"/>
          <w:kern w:val="2"/>
          <w:sz w:val="28"/>
          <w:szCs w:val="28"/>
          <w:lang w:eastAsia="zh-CN"/>
        </w:rPr>
        <w:t>号）和《湖南省财政厅关于印发湖南省预算支出绩效评价管理办法的通知》（湘财绩〔</w:t>
      </w:r>
      <w:r>
        <w:rPr>
          <w:rFonts w:ascii="Times New Roman" w:hAnsi="Times New Roman" w:eastAsia="仿宋_GB2312" w:cs="Times New Roman"/>
          <w:kern w:val="2"/>
          <w:sz w:val="28"/>
          <w:szCs w:val="28"/>
          <w:lang w:eastAsia="zh-CN"/>
        </w:rPr>
        <w:t>2020</w:t>
      </w:r>
      <w:r>
        <w:rPr>
          <w:rFonts w:hint="eastAsia" w:ascii="Times New Roman" w:hAnsi="Times New Roman" w:eastAsia="仿宋_GB2312" w:cs="Times New Roman"/>
          <w:kern w:val="2"/>
          <w:sz w:val="28"/>
          <w:szCs w:val="28"/>
          <w:lang w:eastAsia="zh-CN"/>
        </w:rPr>
        <w:t>〕</w:t>
      </w:r>
      <w:r>
        <w:rPr>
          <w:rFonts w:ascii="Times New Roman" w:hAnsi="Times New Roman" w:eastAsia="仿宋_GB2312" w:cs="Times New Roman"/>
          <w:kern w:val="2"/>
          <w:sz w:val="28"/>
          <w:szCs w:val="28"/>
          <w:lang w:eastAsia="zh-CN"/>
        </w:rPr>
        <w:t>7</w:t>
      </w:r>
      <w:r>
        <w:rPr>
          <w:rFonts w:hint="eastAsia" w:ascii="Times New Roman" w:hAnsi="Times New Roman" w:eastAsia="仿宋_GB2312" w:cs="Times New Roman"/>
          <w:kern w:val="2"/>
          <w:sz w:val="28"/>
          <w:szCs w:val="28"/>
          <w:lang w:eastAsia="zh-CN"/>
        </w:rPr>
        <w:t>号）等有关文件精神，为拓宽预算绩效管评价范围，加快建成全方位、全过程、全覆盖的预算绩效管理体系，按照《邵东市财政局关于开展2021年度财政支出重点项目绩效评价工作的通知》（邵财绩〔2022〕3号）要求，委托湖南国升联合会计师事务所</w:t>
      </w:r>
      <w:r>
        <w:rPr>
          <w:rFonts w:hint="eastAsia" w:ascii="仿宋_GB2312" w:hAnsi="仿宋" w:eastAsia="仿宋_GB2312"/>
          <w:spacing w:val="-8"/>
          <w:sz w:val="28"/>
          <w:szCs w:val="28"/>
        </w:rPr>
        <w:t>遵循“科学性、规范性、客观性和公正性”的原则，</w:t>
      </w:r>
      <w:r>
        <w:rPr>
          <w:rFonts w:hint="eastAsia" w:ascii="Times New Roman" w:hAnsi="Times New Roman" w:eastAsia="仿宋_GB2312" w:cs="Times New Roman"/>
          <w:kern w:val="2"/>
          <w:sz w:val="28"/>
          <w:szCs w:val="28"/>
          <w:lang w:eastAsia="zh-CN"/>
        </w:rPr>
        <w:t>对邵东市农业农村局2021年种子采购资金项目进行评价，现将评价情况报告如下：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7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ind w:left="0" w:firstLine="560" w:firstLineChars="200"/>
        <w:jc w:val="both"/>
        <w:textAlignment w:val="auto"/>
        <w:outlineLvl w:val="0"/>
        <w:rPr>
          <w:rFonts w:ascii="黑体" w:hAnsi="黑体" w:eastAsia="黑体" w:cs="黑体"/>
          <w:sz w:val="28"/>
          <w:szCs w:val="28"/>
          <w:lang w:eastAsia="zh-CN"/>
        </w:rPr>
      </w:pPr>
      <w:bookmarkStart w:id="0" w:name="_Toc31964"/>
      <w:bookmarkStart w:id="1" w:name="_Toc8766"/>
      <w:r>
        <w:rPr>
          <w:rFonts w:hint="eastAsia" w:ascii="黑体" w:hAnsi="黑体" w:eastAsia="黑体" w:cs="黑体"/>
          <w:sz w:val="28"/>
          <w:szCs w:val="28"/>
        </w:rPr>
        <w:t>项目基本情况</w:t>
      </w:r>
      <w:bookmarkEnd w:id="0"/>
      <w:bookmarkEnd w:id="1"/>
      <w:r>
        <w:rPr>
          <w:rFonts w:hint="eastAsia" w:ascii="黑体" w:hAnsi="黑体" w:eastAsia="宋体" w:cs="黑体"/>
          <w:sz w:val="28"/>
          <w:szCs w:val="28"/>
          <w:lang w:eastAsia="zh-CN"/>
        </w:rPr>
        <w:t xml:space="preserve">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22" w:firstLineChars="150"/>
        <w:textAlignment w:val="auto"/>
        <w:outlineLvl w:val="1"/>
        <w:rPr>
          <w:rFonts w:ascii="楷体" w:hAnsi="楷体" w:eastAsia="楷体" w:cs="楷体"/>
          <w:b/>
          <w:bCs/>
          <w:sz w:val="28"/>
          <w:szCs w:val="28"/>
          <w:lang w:eastAsia="zh-CN"/>
        </w:rPr>
      </w:pPr>
      <w:bookmarkStart w:id="2" w:name="_Toc28211"/>
      <w:bookmarkStart w:id="3" w:name="_Toc8183"/>
      <w:r>
        <w:rPr>
          <w:rFonts w:hint="eastAsia" w:ascii="楷体" w:hAnsi="楷体" w:eastAsia="楷体" w:cs="楷体"/>
          <w:b/>
          <w:bCs/>
          <w:sz w:val="28"/>
          <w:szCs w:val="28"/>
          <w:lang w:eastAsia="zh-CN"/>
        </w:rPr>
        <w:t>（一）项目概况</w:t>
      </w:r>
      <w:bookmarkEnd w:id="2"/>
      <w:bookmarkEnd w:id="3"/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Times New Roman" w:hAnsi="Times New Roman" w:eastAsia="仿宋_GB2312" w:cs="Times New Roman"/>
          <w:kern w:val="2"/>
          <w:sz w:val="28"/>
          <w:szCs w:val="28"/>
          <w:lang w:eastAsia="zh-CN"/>
        </w:rPr>
      </w:pPr>
      <w:r>
        <w:rPr>
          <w:rFonts w:hint="eastAsia" w:ascii="Times New Roman" w:hAnsi="Times New Roman" w:eastAsia="仿宋_GB2312" w:cs="Times New Roman"/>
          <w:kern w:val="2"/>
          <w:sz w:val="28"/>
          <w:szCs w:val="28"/>
          <w:lang w:eastAsia="zh-CN"/>
        </w:rPr>
        <w:t>根据邵东市县委农村工作领导小组相关文件精神，为确保“稳面积、稳产量”，实现粮食稳产保供的目标，压缩“双改单”面积，恢复双季稻生产，项 固和提高粮食生产水平，通过由政府采购种子及相关配套农药，免费提供给农民推广“早专晚优”双季稻生产种植。项目由邵东市农业农村局（以下简称市农业农村局）组织实施。</w:t>
      </w:r>
    </w:p>
    <w:p>
      <w:pPr>
        <w:pStyle w:val="3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textAlignment w:val="auto"/>
        <w:outlineLvl w:val="1"/>
        <w:rPr>
          <w:rFonts w:hint="eastAsia" w:ascii="楷体" w:hAnsi="楷体" w:eastAsia="楷体" w:cs="楷体"/>
          <w:b/>
          <w:bCs/>
          <w:sz w:val="28"/>
          <w:szCs w:val="28"/>
        </w:rPr>
      </w:pPr>
      <w:bookmarkStart w:id="4" w:name="_Toc6594"/>
      <w:r>
        <w:rPr>
          <w:rFonts w:hint="eastAsia" w:ascii="楷体" w:hAnsi="楷体" w:eastAsia="楷体" w:cs="楷体"/>
          <w:b/>
          <w:bCs/>
          <w:sz w:val="28"/>
          <w:szCs w:val="28"/>
        </w:rPr>
        <w:t>（二）项目实施内容及资立使用情况</w:t>
      </w:r>
      <w:bookmarkEnd w:id="4"/>
    </w:p>
    <w:p>
      <w:pPr>
        <w:pStyle w:val="3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firstLine="560" w:firstLineChars="200"/>
        <w:textAlignment w:val="auto"/>
        <w:rPr>
          <w:rFonts w:ascii="Times New Roman" w:hAnsi="Times New Roman" w:eastAsia="仿宋_GB2312"/>
          <w:kern w:val="2"/>
          <w:sz w:val="28"/>
          <w:szCs w:val="28"/>
        </w:rPr>
      </w:pPr>
      <w:r>
        <w:rPr>
          <w:rFonts w:hint="eastAsia" w:ascii="Times New Roman" w:hAnsi="Times New Roman" w:eastAsia="仿宋_GB2312"/>
          <w:kern w:val="2"/>
          <w:sz w:val="28"/>
          <w:szCs w:val="28"/>
        </w:rPr>
        <w:t>2020年度市农业农村局主要通过免费提供种子和化肥的方式，推广鼓励全市范围内的双季稻生产种植，市农业农村局2021年度采购了水稻种子16.9万公斤、金额708.8万元；采购了玉米等旱粮作物种子3.85万公斤、金额77.63万元；采购了农药226.49万元；购买用于繁育的原种及自繁的一级良种28.1万公斤、金额172.42万元；采购了育秧剂、壮籽剂和微肥75万元，共计总金额1260.34万元，用于帮扶农产生产增收。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75"/>
        <w:textAlignment w:val="auto"/>
        <w:outlineLvl w:val="1"/>
        <w:rPr>
          <w:rFonts w:hint="eastAsia" w:ascii="楷体" w:hAnsi="楷体" w:eastAsia="楷体" w:cs="楷体"/>
          <w:b/>
          <w:bCs/>
          <w:sz w:val="28"/>
          <w:szCs w:val="28"/>
          <w:lang w:eastAsia="zh-CN"/>
        </w:rPr>
      </w:pPr>
      <w:bookmarkStart w:id="5" w:name="_Toc17137"/>
      <w:bookmarkStart w:id="6" w:name="_Toc23803"/>
      <w:r>
        <w:rPr>
          <w:rFonts w:hint="eastAsia" w:ascii="楷体" w:hAnsi="楷体" w:eastAsia="楷体" w:cs="楷体"/>
          <w:b/>
          <w:bCs/>
          <w:sz w:val="28"/>
          <w:szCs w:val="28"/>
          <w:lang w:eastAsia="zh-CN"/>
        </w:rPr>
        <w:t>（三）项目绩效目标</w:t>
      </w:r>
      <w:bookmarkEnd w:id="5"/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75"/>
        <w:textAlignment w:val="auto"/>
        <w:rPr>
          <w:rFonts w:hint="eastAsia" w:ascii="Times New Roman" w:hAnsi="Times New Roman" w:eastAsia="仿宋_GB2312" w:cs="Times New Roman"/>
          <w:b/>
          <w:kern w:val="2"/>
          <w:sz w:val="28"/>
          <w:szCs w:val="28"/>
          <w:lang w:eastAsia="zh-CN"/>
        </w:rPr>
      </w:pPr>
      <w:r>
        <w:rPr>
          <w:rFonts w:hint="eastAsia" w:ascii="Times New Roman" w:hAnsi="Times New Roman" w:eastAsia="仿宋_GB2312" w:cs="Times New Roman"/>
          <w:b/>
          <w:kern w:val="2"/>
          <w:sz w:val="28"/>
          <w:szCs w:val="28"/>
          <w:lang w:eastAsia="zh-CN"/>
        </w:rPr>
        <w:t>1．项目绩效总目标</w:t>
      </w:r>
    </w:p>
    <w:p>
      <w:pPr>
        <w:pStyle w:val="3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firstLine="560" w:firstLineChars="200"/>
        <w:textAlignment w:val="auto"/>
        <w:rPr>
          <w:rFonts w:hint="eastAsia" w:ascii="Times New Roman" w:hAnsi="Times New Roman" w:eastAsia="仿宋_GB2312"/>
          <w:kern w:val="2"/>
          <w:sz w:val="28"/>
          <w:szCs w:val="28"/>
        </w:rPr>
      </w:pPr>
      <w:r>
        <w:rPr>
          <w:rFonts w:hint="eastAsia" w:ascii="Times New Roman" w:hAnsi="Times New Roman" w:eastAsia="仿宋_GB2312"/>
          <w:kern w:val="2"/>
          <w:sz w:val="28"/>
          <w:szCs w:val="28"/>
        </w:rPr>
        <w:t>围绕稳定增加粮食面积和产量，确保实现粮食稳产保供给目标，以压缩“双改单”为突破口，促进粮食生产数量和质量并重发展，创建双季稻种植示范片，带动大面积均衡发展，达到扩双季稻和高产高效的目标。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75"/>
        <w:textAlignment w:val="auto"/>
        <w:rPr>
          <w:rFonts w:hint="eastAsia" w:ascii="Times New Roman" w:hAnsi="Times New Roman" w:eastAsia="仿宋_GB2312" w:cs="Times New Roman"/>
          <w:b/>
          <w:kern w:val="2"/>
          <w:sz w:val="28"/>
          <w:szCs w:val="28"/>
          <w:lang w:eastAsia="zh-CN"/>
        </w:rPr>
      </w:pPr>
      <w:r>
        <w:rPr>
          <w:rFonts w:hint="eastAsia" w:ascii="Times New Roman" w:hAnsi="Times New Roman" w:eastAsia="仿宋_GB2312" w:cs="Times New Roman"/>
          <w:b/>
          <w:kern w:val="2"/>
          <w:sz w:val="28"/>
          <w:szCs w:val="28"/>
          <w:lang w:eastAsia="zh-CN"/>
        </w:rPr>
        <w:t>2. 项目年度绩效目标</w:t>
      </w:r>
    </w:p>
    <w:p>
      <w:pPr>
        <w:pStyle w:val="3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00" w:lineRule="exact"/>
        <w:ind w:firstLine="700" w:firstLineChars="250"/>
        <w:textAlignment w:val="auto"/>
        <w:rPr>
          <w:rFonts w:hint="eastAsia" w:ascii="Times New Roman" w:hAnsi="Times New Roman" w:eastAsia="仿宋_GB2312"/>
          <w:kern w:val="2"/>
          <w:sz w:val="28"/>
          <w:szCs w:val="28"/>
        </w:rPr>
      </w:pPr>
      <w:r>
        <w:rPr>
          <w:rFonts w:hint="eastAsia" w:ascii="Times New Roman" w:hAnsi="Times New Roman" w:eastAsia="仿宋_GB2312"/>
          <w:kern w:val="2"/>
          <w:sz w:val="28"/>
          <w:szCs w:val="28"/>
        </w:rPr>
        <w:t>（</w:t>
      </w:r>
      <w:r>
        <w:rPr>
          <w:rFonts w:hint="eastAsia" w:ascii="Times New Roman" w:hAnsi="Times New Roman" w:eastAsia="仿宋_GB2312"/>
          <w:b/>
          <w:kern w:val="2"/>
          <w:sz w:val="28"/>
          <w:szCs w:val="28"/>
        </w:rPr>
        <w:t>1）数量指标</w:t>
      </w:r>
      <w:r>
        <w:rPr>
          <w:rFonts w:hint="eastAsia" w:ascii="Times New Roman" w:hAnsi="Times New Roman" w:eastAsia="仿宋_GB2312"/>
          <w:kern w:val="2"/>
          <w:sz w:val="28"/>
          <w:szCs w:val="28"/>
        </w:rPr>
        <w:t>。2021年上级下达给邵东市的粮食生产任务是：粮食生产总面积103.9万亩，总产43.85万吨，早稻面积25.5万亩；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75"/>
        <w:textAlignment w:val="auto"/>
        <w:rPr>
          <w:rFonts w:hint="eastAsia" w:ascii="Times New Roman" w:hAnsi="Times New Roman" w:eastAsia="仿宋_GB2312" w:cs="Times New Roman"/>
          <w:kern w:val="2"/>
          <w:sz w:val="28"/>
          <w:szCs w:val="28"/>
          <w:lang w:eastAsia="zh-CN"/>
        </w:rPr>
      </w:pPr>
      <w:r>
        <w:rPr>
          <w:rFonts w:hint="eastAsia" w:ascii="Times New Roman" w:hAnsi="Times New Roman" w:eastAsia="仿宋_GB2312" w:cs="Times New Roman"/>
          <w:b/>
          <w:kern w:val="2"/>
          <w:sz w:val="28"/>
          <w:szCs w:val="28"/>
          <w:lang w:eastAsia="zh-CN"/>
        </w:rPr>
        <w:t>（2）质量指标</w:t>
      </w:r>
      <w:r>
        <w:rPr>
          <w:rFonts w:hint="eastAsia" w:ascii="Times New Roman" w:hAnsi="Times New Roman" w:eastAsia="仿宋_GB2312" w:cs="Times New Roman"/>
          <w:kern w:val="2"/>
          <w:sz w:val="28"/>
          <w:szCs w:val="28"/>
          <w:lang w:eastAsia="zh-CN"/>
        </w:rPr>
        <w:t>。各项种子的纯度达标、农村、化肥达到国标。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75"/>
        <w:textAlignment w:val="auto"/>
        <w:rPr>
          <w:rFonts w:hint="eastAsia" w:ascii="Times New Roman" w:hAnsi="Times New Roman" w:eastAsia="仿宋_GB2312" w:cs="Times New Roman"/>
          <w:kern w:val="2"/>
          <w:sz w:val="28"/>
          <w:szCs w:val="28"/>
          <w:lang w:eastAsia="zh-CN"/>
        </w:rPr>
      </w:pPr>
      <w:r>
        <w:rPr>
          <w:rFonts w:hint="eastAsia" w:ascii="Times New Roman" w:hAnsi="Times New Roman" w:eastAsia="仿宋_GB2312" w:cs="Times New Roman"/>
          <w:b/>
          <w:kern w:val="2"/>
          <w:sz w:val="28"/>
          <w:szCs w:val="28"/>
          <w:lang w:eastAsia="zh-CN"/>
        </w:rPr>
        <w:t>（3）成本指标</w:t>
      </w:r>
      <w:r>
        <w:rPr>
          <w:rFonts w:hint="eastAsia" w:ascii="Times New Roman" w:hAnsi="Times New Roman" w:eastAsia="仿宋_GB2312" w:cs="Times New Roman"/>
          <w:kern w:val="2"/>
          <w:sz w:val="28"/>
          <w:szCs w:val="28"/>
          <w:lang w:eastAsia="zh-CN"/>
        </w:rPr>
        <w:t>。项目总成本控制在1260万元以内。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75"/>
        <w:textAlignment w:val="auto"/>
        <w:rPr>
          <w:rFonts w:hint="eastAsia" w:ascii="Times New Roman" w:hAnsi="Times New Roman" w:eastAsia="仿宋_GB2312" w:cs="Times New Roman"/>
          <w:b/>
          <w:kern w:val="2"/>
          <w:sz w:val="28"/>
          <w:szCs w:val="28"/>
          <w:lang w:eastAsia="zh-CN"/>
        </w:rPr>
      </w:pPr>
      <w:r>
        <w:rPr>
          <w:rFonts w:hint="eastAsia" w:ascii="Times New Roman" w:hAnsi="Times New Roman" w:eastAsia="仿宋_GB2312" w:cs="Times New Roman"/>
          <w:kern w:val="2"/>
          <w:sz w:val="28"/>
          <w:szCs w:val="28"/>
          <w:lang w:eastAsia="zh-CN"/>
        </w:rPr>
        <w:t>（</w:t>
      </w:r>
      <w:r>
        <w:rPr>
          <w:rFonts w:hint="eastAsia" w:ascii="Times New Roman" w:hAnsi="Times New Roman" w:eastAsia="仿宋_GB2312" w:cs="Times New Roman"/>
          <w:b/>
          <w:kern w:val="2"/>
          <w:sz w:val="28"/>
          <w:szCs w:val="28"/>
          <w:lang w:eastAsia="zh-CN"/>
        </w:rPr>
        <w:t>4）效益目标。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75"/>
        <w:textAlignment w:val="auto"/>
        <w:rPr>
          <w:rFonts w:hint="eastAsia" w:ascii="Times New Roman" w:hAnsi="Times New Roman" w:eastAsia="仿宋_GB2312" w:cs="Times New Roman"/>
          <w:kern w:val="2"/>
          <w:sz w:val="28"/>
          <w:szCs w:val="28"/>
          <w:lang w:eastAsia="zh-CN"/>
        </w:rPr>
      </w:pPr>
      <w:r>
        <w:rPr>
          <w:rFonts w:hint="eastAsia" w:ascii="Times New Roman" w:hAnsi="Times New Roman" w:eastAsia="仿宋_GB2312" w:cs="Times New Roman"/>
          <w:kern w:val="2"/>
          <w:sz w:val="28"/>
          <w:szCs w:val="28"/>
          <w:lang w:eastAsia="zh-CN"/>
        </w:rPr>
        <w:t>①引导恢复双季稻生产，全县早稻种植面积达到26.48万亩。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75"/>
        <w:textAlignment w:val="auto"/>
        <w:rPr>
          <w:rFonts w:hint="eastAsia" w:ascii="Times New Roman" w:hAnsi="Times New Roman" w:eastAsia="仿宋_GB2312" w:cs="Times New Roman"/>
          <w:kern w:val="2"/>
          <w:sz w:val="28"/>
          <w:szCs w:val="28"/>
          <w:lang w:eastAsia="zh-CN"/>
        </w:rPr>
      </w:pPr>
      <w:r>
        <w:rPr>
          <w:rFonts w:hint="eastAsia" w:ascii="Times New Roman" w:hAnsi="Times New Roman" w:eastAsia="仿宋_GB2312" w:cs="Times New Roman"/>
          <w:kern w:val="2"/>
          <w:sz w:val="28"/>
          <w:szCs w:val="28"/>
          <w:lang w:eastAsia="zh-CN"/>
        </w:rPr>
        <w:t>②全县粮食生产面积达到105.59万亩以上。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75"/>
        <w:textAlignment w:val="auto"/>
        <w:rPr>
          <w:rFonts w:hint="eastAsia" w:ascii="Times New Roman" w:hAnsi="Times New Roman" w:eastAsia="仿宋_GB2312" w:cs="Times New Roman"/>
          <w:kern w:val="2"/>
          <w:sz w:val="28"/>
          <w:szCs w:val="28"/>
          <w:lang w:eastAsia="zh-CN"/>
        </w:rPr>
      </w:pPr>
      <w:r>
        <w:rPr>
          <w:rFonts w:hint="eastAsia" w:ascii="Times New Roman" w:hAnsi="Times New Roman" w:eastAsia="仿宋_GB2312" w:cs="Times New Roman"/>
          <w:kern w:val="2"/>
          <w:sz w:val="28"/>
          <w:szCs w:val="28"/>
          <w:lang w:eastAsia="zh-CN"/>
        </w:rPr>
        <w:sym w:font="Wingdings" w:char="F083"/>
      </w:r>
      <w:r>
        <w:rPr>
          <w:rFonts w:hint="eastAsia" w:ascii="Times New Roman" w:hAnsi="Times New Roman" w:eastAsia="仿宋_GB2312" w:cs="Times New Roman"/>
          <w:kern w:val="2"/>
          <w:sz w:val="28"/>
          <w:szCs w:val="28"/>
          <w:lang w:eastAsia="zh-CN"/>
        </w:rPr>
        <w:t>确保粮食稳产增收，全县粮食总产量达到44.36万吨。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75"/>
        <w:textAlignment w:val="auto"/>
        <w:rPr>
          <w:rFonts w:hint="eastAsia" w:ascii="Times New Roman" w:hAnsi="Times New Roman" w:eastAsia="仿宋_GB2312" w:cs="Times New Roman"/>
          <w:kern w:val="2"/>
          <w:sz w:val="28"/>
          <w:szCs w:val="28"/>
          <w:lang w:eastAsia="zh-CN"/>
        </w:rPr>
      </w:pPr>
      <w:r>
        <w:rPr>
          <w:rFonts w:hint="eastAsia" w:ascii="Times New Roman" w:hAnsi="Times New Roman" w:eastAsia="仿宋_GB2312" w:cs="Times New Roman"/>
          <w:kern w:val="2"/>
          <w:sz w:val="28"/>
          <w:szCs w:val="28"/>
          <w:lang w:eastAsia="zh-CN"/>
        </w:rPr>
        <w:t>④满意度，补贴对象满意度90%以上。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ind w:firstLine="560" w:firstLineChars="200"/>
        <w:jc w:val="both"/>
        <w:textAlignment w:val="auto"/>
        <w:outlineLvl w:val="0"/>
        <w:rPr>
          <w:rFonts w:ascii="黑体" w:hAnsi="黑体" w:eastAsia="黑体" w:cs="黑体"/>
          <w:sz w:val="28"/>
          <w:szCs w:val="28"/>
        </w:rPr>
      </w:pPr>
      <w:bookmarkStart w:id="7" w:name="_Toc26253"/>
      <w:bookmarkStart w:id="8" w:name="_Toc30050"/>
      <w:r>
        <w:rPr>
          <w:rFonts w:hint="eastAsia" w:ascii="黑体" w:hAnsi="黑体" w:eastAsia="黑体" w:cs="黑体"/>
          <w:sz w:val="28"/>
          <w:szCs w:val="28"/>
        </w:rPr>
        <w:t>二、绩效评价工作情况</w:t>
      </w:r>
      <w:bookmarkEnd w:id="7"/>
      <w:bookmarkEnd w:id="8"/>
    </w:p>
    <w:p>
      <w:pPr>
        <w:pStyle w:val="14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2"/>
        <w:jc w:val="both"/>
        <w:textAlignment w:val="auto"/>
        <w:outlineLvl w:val="1"/>
        <w:rPr>
          <w:rFonts w:ascii="楷体" w:hAnsi="楷体" w:eastAsia="楷体" w:cs="楷体"/>
          <w:b/>
          <w:bCs/>
          <w:sz w:val="28"/>
          <w:szCs w:val="28"/>
          <w:lang w:val="en-US" w:eastAsia="zh-CN"/>
        </w:rPr>
      </w:pPr>
      <w:bookmarkStart w:id="9" w:name="_Toc899"/>
      <w:bookmarkStart w:id="10" w:name="_Toc16133"/>
      <w:r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  <w:t>（一）绩效评价依据</w:t>
      </w:r>
      <w:bookmarkEnd w:id="9"/>
      <w:bookmarkEnd w:id="10"/>
    </w:p>
    <w:p>
      <w:pPr>
        <w:pStyle w:val="141"/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0"/>
        <w:jc w:val="both"/>
        <w:textAlignment w:val="auto"/>
        <w:rPr>
          <w:rFonts w:ascii="Times New Roman" w:hAnsi="Times New Roman" w:eastAsia="仿宋_GB2312" w:cs="Times New Roman"/>
          <w:kern w:val="2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 w:cs="Times New Roman"/>
          <w:kern w:val="2"/>
          <w:sz w:val="28"/>
          <w:szCs w:val="28"/>
          <w:lang w:val="en-US" w:eastAsia="zh-CN"/>
        </w:rPr>
        <w:t>《中华人民共和国预算法》；</w:t>
      </w:r>
    </w:p>
    <w:p>
      <w:pPr>
        <w:pStyle w:val="141"/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0"/>
        <w:jc w:val="both"/>
        <w:textAlignment w:val="auto"/>
        <w:rPr>
          <w:rFonts w:ascii="Times New Roman" w:hAnsi="Times New Roman" w:eastAsia="仿宋_GB2312" w:cs="Times New Roman"/>
          <w:kern w:val="2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 w:cs="Times New Roman"/>
          <w:kern w:val="2"/>
          <w:sz w:val="28"/>
          <w:szCs w:val="28"/>
          <w:lang w:val="en-US" w:eastAsia="zh-CN"/>
        </w:rPr>
        <w:t>《中华人民共和国招标投标法》、《中华人民共和国招标投标法实施条例》；</w:t>
      </w:r>
    </w:p>
    <w:p>
      <w:pPr>
        <w:pStyle w:val="141"/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0"/>
        <w:jc w:val="both"/>
        <w:textAlignment w:val="auto"/>
        <w:rPr>
          <w:rFonts w:ascii="Times New Roman" w:hAnsi="Times New Roman" w:eastAsia="仿宋_GB2312" w:cs="Times New Roman"/>
          <w:kern w:val="2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 w:cs="Times New Roman"/>
          <w:kern w:val="2"/>
          <w:sz w:val="28"/>
          <w:szCs w:val="28"/>
          <w:lang w:val="en-US" w:eastAsia="zh-CN"/>
        </w:rPr>
        <w:t>《中华人民共和国政府采购法》、《中华人民共和国政府采购法实施条例》；</w:t>
      </w:r>
    </w:p>
    <w:p>
      <w:pPr>
        <w:pStyle w:val="141"/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0"/>
        <w:jc w:val="both"/>
        <w:textAlignment w:val="auto"/>
        <w:rPr>
          <w:rFonts w:ascii="Times New Roman" w:hAnsi="Times New Roman" w:eastAsia="仿宋_GB2312" w:cs="Times New Roman"/>
          <w:kern w:val="2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 w:cs="Times New Roman"/>
          <w:kern w:val="2"/>
          <w:sz w:val="28"/>
          <w:szCs w:val="28"/>
          <w:lang w:val="en-US" w:eastAsia="zh-CN"/>
        </w:rPr>
        <w:t>《中共中央国务院关于全面实施预算绩效管理的意见》（中发〔</w:t>
      </w:r>
      <w:r>
        <w:rPr>
          <w:rFonts w:ascii="Times New Roman" w:hAnsi="Times New Roman" w:eastAsia="仿宋_GB2312" w:cs="Times New Roman"/>
          <w:kern w:val="2"/>
          <w:sz w:val="28"/>
          <w:szCs w:val="28"/>
          <w:lang w:val="en-US" w:eastAsia="zh-CN"/>
        </w:rPr>
        <w:t>20</w:t>
      </w:r>
      <w:r>
        <w:rPr>
          <w:rFonts w:hint="eastAsia" w:ascii="Times New Roman" w:hAnsi="Times New Roman" w:eastAsia="仿宋_GB2312" w:cs="Times New Roman"/>
          <w:kern w:val="2"/>
          <w:sz w:val="28"/>
          <w:szCs w:val="28"/>
          <w:lang w:val="en-US" w:eastAsia="zh-CN"/>
        </w:rPr>
        <w:t>18〕</w:t>
      </w:r>
      <w:r>
        <w:rPr>
          <w:rFonts w:ascii="Times New Roman" w:hAnsi="Times New Roman" w:eastAsia="仿宋_GB2312" w:cs="Times New Roman"/>
          <w:kern w:val="2"/>
          <w:sz w:val="28"/>
          <w:szCs w:val="28"/>
          <w:lang w:val="en-US" w:eastAsia="zh-CN"/>
        </w:rPr>
        <w:t>34</w:t>
      </w:r>
      <w:r>
        <w:rPr>
          <w:rFonts w:hint="eastAsia" w:ascii="Times New Roman" w:hAnsi="Times New Roman" w:eastAsia="仿宋_GB2312" w:cs="Times New Roman"/>
          <w:kern w:val="2"/>
          <w:sz w:val="28"/>
          <w:szCs w:val="28"/>
          <w:lang w:val="en-US" w:eastAsia="zh-CN"/>
        </w:rPr>
        <w:t>号）；</w:t>
      </w:r>
    </w:p>
    <w:p>
      <w:pPr>
        <w:pStyle w:val="141"/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0"/>
        <w:jc w:val="both"/>
        <w:textAlignment w:val="auto"/>
        <w:rPr>
          <w:rFonts w:ascii="Times New Roman" w:hAnsi="Times New Roman" w:eastAsia="仿宋_GB2312" w:cs="Times New Roman"/>
          <w:kern w:val="2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 w:cs="Times New Roman"/>
          <w:kern w:val="2"/>
          <w:sz w:val="28"/>
          <w:szCs w:val="28"/>
          <w:lang w:val="en-US" w:eastAsia="zh-CN"/>
        </w:rPr>
        <w:t>《中共湖南省委办公厅  湖南省人民政府办公厅关于全面实施预算绩效管理的实施意见》（湘办发〔</w:t>
      </w:r>
      <w:r>
        <w:rPr>
          <w:rFonts w:ascii="Times New Roman" w:hAnsi="Times New Roman" w:eastAsia="仿宋_GB2312" w:cs="Times New Roman"/>
          <w:kern w:val="2"/>
          <w:sz w:val="28"/>
          <w:szCs w:val="28"/>
          <w:lang w:val="en-US" w:eastAsia="zh-CN"/>
        </w:rPr>
        <w:t>20</w:t>
      </w:r>
      <w:r>
        <w:rPr>
          <w:rFonts w:hint="eastAsia" w:ascii="Times New Roman" w:hAnsi="Times New Roman" w:eastAsia="仿宋_GB2312" w:cs="Times New Roman"/>
          <w:kern w:val="2"/>
          <w:sz w:val="28"/>
          <w:szCs w:val="28"/>
          <w:lang w:val="en-US" w:eastAsia="zh-CN"/>
        </w:rPr>
        <w:t>19〕</w:t>
      </w:r>
      <w:r>
        <w:rPr>
          <w:rFonts w:ascii="Times New Roman" w:hAnsi="Times New Roman" w:eastAsia="仿宋_GB2312" w:cs="Times New Roman"/>
          <w:kern w:val="2"/>
          <w:sz w:val="28"/>
          <w:szCs w:val="28"/>
          <w:lang w:val="en-US" w:eastAsia="zh-CN"/>
        </w:rPr>
        <w:t>10</w:t>
      </w:r>
      <w:r>
        <w:rPr>
          <w:rFonts w:hint="eastAsia" w:ascii="Times New Roman" w:hAnsi="Times New Roman" w:eastAsia="仿宋_GB2312" w:cs="Times New Roman"/>
          <w:kern w:val="2"/>
          <w:sz w:val="28"/>
          <w:szCs w:val="28"/>
          <w:lang w:val="en-US" w:eastAsia="zh-CN"/>
        </w:rPr>
        <w:t>号)；</w:t>
      </w:r>
    </w:p>
    <w:p>
      <w:pPr>
        <w:pStyle w:val="141"/>
        <w:keepNext w:val="0"/>
        <w:keepLines w:val="0"/>
        <w:pageBreakBefore w:val="0"/>
        <w:widowControl w:val="0"/>
        <w:numPr>
          <w:ilvl w:val="0"/>
          <w:numId w:val="8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0"/>
        <w:jc w:val="both"/>
        <w:textAlignment w:val="auto"/>
        <w:rPr>
          <w:rFonts w:ascii="Times New Roman" w:hAnsi="Times New Roman" w:eastAsia="仿宋_GB2312" w:cs="Times New Roman"/>
          <w:kern w:val="2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 w:cs="Times New Roman"/>
          <w:kern w:val="2"/>
          <w:sz w:val="28"/>
          <w:szCs w:val="28"/>
          <w:lang w:val="en-US" w:eastAsia="zh-CN"/>
        </w:rPr>
        <w:t>《湖南省财政厅关于印发湖南省预算支出绩效评价管理办法的通知》（湘财绩〔</w:t>
      </w:r>
      <w:r>
        <w:rPr>
          <w:rFonts w:ascii="Times New Roman" w:hAnsi="Times New Roman" w:eastAsia="仿宋_GB2312" w:cs="Times New Roman"/>
          <w:kern w:val="2"/>
          <w:sz w:val="28"/>
          <w:szCs w:val="28"/>
          <w:lang w:val="en-US" w:eastAsia="zh-CN"/>
        </w:rPr>
        <w:t>2020</w:t>
      </w:r>
      <w:r>
        <w:rPr>
          <w:rFonts w:hint="eastAsia" w:ascii="Times New Roman" w:hAnsi="Times New Roman" w:eastAsia="仿宋_GB2312" w:cs="Times New Roman"/>
          <w:kern w:val="2"/>
          <w:sz w:val="28"/>
          <w:szCs w:val="28"/>
          <w:lang w:val="en-US" w:eastAsia="zh-CN"/>
        </w:rPr>
        <w:t>〕</w:t>
      </w:r>
      <w:r>
        <w:rPr>
          <w:rFonts w:ascii="Times New Roman" w:hAnsi="Times New Roman" w:eastAsia="仿宋_GB2312" w:cs="Times New Roman"/>
          <w:kern w:val="2"/>
          <w:sz w:val="28"/>
          <w:szCs w:val="28"/>
          <w:lang w:val="en-US" w:eastAsia="zh-CN"/>
        </w:rPr>
        <w:t>7</w:t>
      </w:r>
      <w:r>
        <w:rPr>
          <w:rFonts w:hint="eastAsia" w:ascii="Times New Roman" w:hAnsi="Times New Roman" w:eastAsia="仿宋_GB2312" w:cs="Times New Roman"/>
          <w:kern w:val="2"/>
          <w:sz w:val="28"/>
          <w:szCs w:val="28"/>
          <w:lang w:val="en-US" w:eastAsia="zh-CN"/>
        </w:rPr>
        <w:t>号）；</w:t>
      </w:r>
    </w:p>
    <w:p>
      <w:pPr>
        <w:pStyle w:val="2"/>
        <w:keepNext w:val="0"/>
        <w:keepLines w:val="0"/>
        <w:pageBreakBefore w:val="0"/>
        <w:numPr>
          <w:ilvl w:val="0"/>
          <w:numId w:val="8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ind w:firstLine="640"/>
        <w:jc w:val="both"/>
        <w:textAlignment w:val="auto"/>
        <w:rPr>
          <w:rFonts w:ascii="Times New Roman" w:hAnsi="Times New Roman" w:eastAsia="仿宋_GB2312" w:cs="Times New Roman"/>
          <w:kern w:val="2"/>
          <w:sz w:val="28"/>
          <w:szCs w:val="28"/>
          <w:lang w:eastAsia="zh-CN"/>
        </w:rPr>
      </w:pPr>
      <w:r>
        <w:rPr>
          <w:rFonts w:hint="eastAsia" w:ascii="Times New Roman" w:hAnsi="Times New Roman" w:eastAsia="仿宋_GB2312" w:cs="Times New Roman"/>
          <w:kern w:val="2"/>
          <w:sz w:val="28"/>
          <w:szCs w:val="28"/>
          <w:lang w:eastAsia="zh-CN"/>
        </w:rPr>
        <w:t>其他相关资料。</w:t>
      </w:r>
    </w:p>
    <w:p>
      <w:pPr>
        <w:pStyle w:val="141"/>
        <w:keepNext w:val="0"/>
        <w:keepLines w:val="0"/>
        <w:pageBreakBefore w:val="0"/>
        <w:widowControl w:val="0"/>
        <w:numPr>
          <w:ilvl w:val="0"/>
          <w:numId w:val="9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2"/>
        <w:jc w:val="both"/>
        <w:textAlignment w:val="auto"/>
        <w:outlineLvl w:val="1"/>
        <w:rPr>
          <w:rFonts w:ascii="楷体" w:hAnsi="楷体" w:eastAsia="楷体" w:cs="楷体"/>
          <w:b/>
          <w:bCs/>
          <w:sz w:val="28"/>
          <w:szCs w:val="28"/>
          <w:lang w:val="en-US" w:eastAsia="zh-CN"/>
        </w:rPr>
      </w:pPr>
      <w:bookmarkStart w:id="11" w:name="_Toc31214"/>
      <w:bookmarkStart w:id="12" w:name="_Toc15976"/>
      <w:r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  <w:t>绩效评价的基本内容</w:t>
      </w:r>
      <w:bookmarkEnd w:id="11"/>
      <w:bookmarkEnd w:id="12"/>
    </w:p>
    <w:p>
      <w:pPr>
        <w:pStyle w:val="141"/>
        <w:keepNext w:val="0"/>
        <w:keepLines w:val="0"/>
        <w:pageBreakBefore w:val="0"/>
        <w:widowControl w:val="0"/>
        <w:numPr>
          <w:ilvl w:val="0"/>
          <w:numId w:val="1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2"/>
        <w:jc w:val="both"/>
        <w:textAlignment w:val="auto"/>
        <w:rPr>
          <w:rFonts w:ascii="楷体" w:hAnsi="楷体" w:eastAsia="楷体" w:cs="楷体"/>
          <w:b/>
          <w:bCs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  <w:t>决策方面。</w:t>
      </w:r>
      <w:r>
        <w:rPr>
          <w:rFonts w:hint="eastAsia" w:ascii="Times New Roman" w:hAnsi="Times New Roman" w:eastAsia="仿宋_GB2312" w:cs="Times New Roman"/>
          <w:kern w:val="2"/>
          <w:sz w:val="28"/>
          <w:szCs w:val="28"/>
          <w:lang w:val="en-US" w:eastAsia="zh-CN"/>
        </w:rPr>
        <w:t>项目立项依据的充分性，包括是否符合国家相关法律法规、国民经济发展规划和相关政策等；立项程序的规范性，包括项目是否按照规定的程序申请设立等；项目绩效目标以及指标设置情况。</w:t>
      </w:r>
    </w:p>
    <w:p>
      <w:pPr>
        <w:pStyle w:val="141"/>
        <w:keepNext w:val="0"/>
        <w:keepLines w:val="0"/>
        <w:pageBreakBefore w:val="0"/>
        <w:widowControl w:val="0"/>
        <w:numPr>
          <w:ilvl w:val="0"/>
          <w:numId w:val="1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2"/>
        <w:jc w:val="both"/>
        <w:textAlignment w:val="auto"/>
        <w:rPr>
          <w:rFonts w:ascii="楷体" w:hAnsi="楷体" w:eastAsia="楷体" w:cs="楷体"/>
          <w:b/>
          <w:bCs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  <w:t>过程方面。</w:t>
      </w:r>
      <w:r>
        <w:rPr>
          <w:rFonts w:hint="eastAsia" w:ascii="Times New Roman" w:hAnsi="Times New Roman" w:eastAsia="仿宋_GB2312" w:cs="Times New Roman"/>
          <w:kern w:val="2"/>
          <w:sz w:val="28"/>
          <w:szCs w:val="28"/>
          <w:lang w:val="en-US" w:eastAsia="zh-CN"/>
        </w:rPr>
        <w:t>整个采购程序的合规情况，包括招标、投标、开标、评标、中标的合规情况；资金使用的合规情况。</w:t>
      </w:r>
    </w:p>
    <w:p>
      <w:pPr>
        <w:pStyle w:val="141"/>
        <w:keepNext w:val="0"/>
        <w:keepLines w:val="0"/>
        <w:pageBreakBefore w:val="0"/>
        <w:widowControl w:val="0"/>
        <w:numPr>
          <w:ilvl w:val="0"/>
          <w:numId w:val="1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2"/>
        <w:jc w:val="both"/>
        <w:textAlignment w:val="auto"/>
        <w:rPr>
          <w:rFonts w:ascii="楷体" w:hAnsi="楷体" w:eastAsia="楷体" w:cs="楷体"/>
          <w:b/>
          <w:bCs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  <w:t>产出方面。</w:t>
      </w:r>
      <w:r>
        <w:rPr>
          <w:rFonts w:hint="eastAsia" w:ascii="Times New Roman" w:hAnsi="Times New Roman" w:eastAsia="仿宋_GB2312" w:cs="Times New Roman"/>
          <w:kern w:val="2"/>
          <w:sz w:val="28"/>
          <w:szCs w:val="28"/>
          <w:lang w:val="en-US" w:eastAsia="zh-CN"/>
        </w:rPr>
        <w:t>项目赔付案件情况；项目质量考核情况；履约付款及时情况。</w:t>
      </w:r>
    </w:p>
    <w:p>
      <w:pPr>
        <w:pStyle w:val="141"/>
        <w:keepNext w:val="0"/>
        <w:keepLines w:val="0"/>
        <w:pageBreakBefore w:val="0"/>
        <w:widowControl w:val="0"/>
        <w:numPr>
          <w:ilvl w:val="0"/>
          <w:numId w:val="1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2"/>
        <w:jc w:val="both"/>
        <w:textAlignment w:val="auto"/>
        <w:rPr>
          <w:rFonts w:ascii="楷体" w:hAnsi="楷体" w:eastAsia="楷体" w:cs="楷体"/>
          <w:b/>
          <w:bCs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  <w:t>效益方面。</w:t>
      </w:r>
      <w:r>
        <w:rPr>
          <w:rFonts w:hint="eastAsia" w:ascii="Times New Roman" w:hAnsi="Times New Roman" w:eastAsia="仿宋_GB2312" w:cs="Times New Roman"/>
          <w:kern w:val="2"/>
          <w:sz w:val="28"/>
          <w:szCs w:val="28"/>
          <w:lang w:val="en-US" w:eastAsia="zh-CN"/>
        </w:rPr>
        <w:t>采购项目的公平、公正、公开情况及是否存在争议处理情况；项目实施带来的社会效益；项目服务对象的满意程度。</w:t>
      </w:r>
    </w:p>
    <w:p>
      <w:pPr>
        <w:pStyle w:val="14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2"/>
        <w:jc w:val="both"/>
        <w:textAlignment w:val="auto"/>
        <w:outlineLvl w:val="1"/>
        <w:rPr>
          <w:rFonts w:ascii="楷体" w:hAnsi="楷体" w:eastAsia="楷体" w:cs="楷体"/>
          <w:b/>
          <w:bCs/>
          <w:sz w:val="28"/>
          <w:szCs w:val="28"/>
          <w:lang w:val="en-US" w:eastAsia="zh-CN"/>
        </w:rPr>
      </w:pPr>
      <w:bookmarkStart w:id="13" w:name="_Toc11574"/>
      <w:bookmarkStart w:id="14" w:name="_Toc28102"/>
      <w:r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  <w:t>（三）绩效评价原则</w:t>
      </w:r>
      <w:bookmarkEnd w:id="13"/>
      <w:bookmarkEnd w:id="14"/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ind w:firstLine="562" w:firstLineChars="200"/>
        <w:jc w:val="both"/>
        <w:rPr>
          <w:rFonts w:ascii="Times New Roman" w:hAnsi="Times New Roman" w:eastAsia="仿宋_GB2312" w:cs="Times New Roman"/>
          <w:kern w:val="2"/>
          <w:sz w:val="28"/>
          <w:szCs w:val="28"/>
          <w:lang w:eastAsia="zh-CN"/>
        </w:rPr>
      </w:pPr>
      <w:r>
        <w:rPr>
          <w:rFonts w:hint="eastAsia" w:ascii="Times New Roman" w:hAnsi="Times New Roman" w:eastAsia="仿宋_GB2312" w:cs="Times New Roman"/>
          <w:b/>
          <w:bCs/>
          <w:kern w:val="2"/>
          <w:sz w:val="28"/>
          <w:szCs w:val="28"/>
          <w:lang w:eastAsia="zh-CN"/>
        </w:rPr>
        <w:t>1.科学规范原则。</w:t>
      </w:r>
      <w:r>
        <w:rPr>
          <w:rFonts w:hint="eastAsia" w:ascii="Times New Roman" w:hAnsi="Times New Roman" w:eastAsia="仿宋_GB2312" w:cs="Times New Roman"/>
          <w:kern w:val="2"/>
          <w:sz w:val="28"/>
          <w:szCs w:val="28"/>
          <w:lang w:eastAsia="zh-CN"/>
        </w:rPr>
        <w:t>严格执行规定程序，按照科学可行的要求，采用定量与定性分析相结合的方法，对本项目进行绩效评价。同时设置量化程度较高的产出、效果指标，降低评价人员的主观评断影响。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ind w:firstLine="562" w:firstLineChars="200"/>
        <w:jc w:val="both"/>
        <w:rPr>
          <w:rFonts w:ascii="Times New Roman" w:hAnsi="Times New Roman" w:eastAsia="仿宋_GB2312" w:cs="Times New Roman"/>
          <w:kern w:val="2"/>
          <w:sz w:val="28"/>
          <w:szCs w:val="28"/>
          <w:lang w:eastAsia="zh-CN"/>
        </w:rPr>
      </w:pPr>
      <w:r>
        <w:rPr>
          <w:rFonts w:hint="eastAsia" w:ascii="Times New Roman" w:hAnsi="Times New Roman" w:eastAsia="仿宋_GB2312" w:cs="Times New Roman"/>
          <w:b/>
          <w:bCs/>
          <w:kern w:val="2"/>
          <w:sz w:val="28"/>
          <w:szCs w:val="28"/>
          <w:lang w:eastAsia="zh-CN"/>
        </w:rPr>
        <w:t>2.公正公开原则。</w:t>
      </w:r>
      <w:r>
        <w:rPr>
          <w:rFonts w:hint="eastAsia" w:ascii="Times New Roman" w:hAnsi="Times New Roman" w:eastAsia="仿宋_GB2312" w:cs="Times New Roman"/>
          <w:kern w:val="2"/>
          <w:sz w:val="28"/>
          <w:szCs w:val="28"/>
          <w:lang w:eastAsia="zh-CN"/>
        </w:rPr>
        <w:t>本次绩效评价秉承真实、客观、公正的要求，依法公开并接受监督。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ind w:firstLine="562" w:firstLineChars="200"/>
        <w:jc w:val="both"/>
        <w:rPr>
          <w:rFonts w:ascii="Times New Roman" w:hAnsi="Times New Roman" w:eastAsia="仿宋_GB2312" w:cs="Times New Roman"/>
          <w:kern w:val="2"/>
          <w:sz w:val="28"/>
          <w:szCs w:val="28"/>
          <w:lang w:eastAsia="zh-CN"/>
        </w:rPr>
      </w:pPr>
      <w:r>
        <w:rPr>
          <w:rFonts w:hint="eastAsia" w:ascii="Times New Roman" w:hAnsi="Times New Roman" w:eastAsia="仿宋_GB2312" w:cs="Times New Roman"/>
          <w:b/>
          <w:bCs/>
          <w:kern w:val="2"/>
          <w:sz w:val="28"/>
          <w:szCs w:val="28"/>
          <w:lang w:eastAsia="zh-CN"/>
        </w:rPr>
        <w:t>3.分级分类原则。</w:t>
      </w:r>
      <w:r>
        <w:rPr>
          <w:rFonts w:hint="eastAsia" w:ascii="Times New Roman" w:hAnsi="Times New Roman" w:eastAsia="仿宋_GB2312" w:cs="Times New Roman"/>
          <w:kern w:val="2"/>
          <w:sz w:val="28"/>
          <w:szCs w:val="28"/>
          <w:lang w:eastAsia="zh-CN"/>
        </w:rPr>
        <w:t>本次绩效评价根据评价对象的特点分类组织实施。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ind w:firstLine="562" w:firstLineChars="200"/>
        <w:jc w:val="both"/>
        <w:rPr>
          <w:rFonts w:ascii="Times New Roman" w:hAnsi="Times New Roman" w:eastAsia="仿宋_GB2312" w:cs="Times New Roman"/>
          <w:kern w:val="2"/>
          <w:sz w:val="28"/>
          <w:szCs w:val="28"/>
          <w:lang w:eastAsia="zh-CN"/>
        </w:rPr>
      </w:pPr>
      <w:r>
        <w:rPr>
          <w:rFonts w:hint="eastAsia" w:ascii="Times New Roman" w:hAnsi="Times New Roman" w:eastAsia="仿宋_GB2312" w:cs="Times New Roman"/>
          <w:b/>
          <w:bCs/>
          <w:kern w:val="2"/>
          <w:sz w:val="28"/>
          <w:szCs w:val="28"/>
          <w:lang w:eastAsia="zh-CN"/>
        </w:rPr>
        <w:t>4.绩效相关原则。</w:t>
      </w:r>
      <w:r>
        <w:rPr>
          <w:rFonts w:hint="eastAsia" w:ascii="Times New Roman" w:hAnsi="Times New Roman" w:eastAsia="仿宋_GB2312" w:cs="Times New Roman"/>
          <w:kern w:val="2"/>
          <w:sz w:val="28"/>
          <w:szCs w:val="28"/>
          <w:lang w:eastAsia="zh-CN"/>
        </w:rPr>
        <w:t>使用与绩效目标有直接联系，能够恰当反映目标实现程度的绩效评价指标。</w:t>
      </w:r>
    </w:p>
    <w:p>
      <w:pPr>
        <w:pStyle w:val="14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2"/>
        <w:jc w:val="both"/>
        <w:outlineLvl w:val="1"/>
        <w:rPr>
          <w:rFonts w:ascii="楷体" w:hAnsi="楷体" w:eastAsia="楷体" w:cs="楷体"/>
          <w:b/>
          <w:bCs/>
          <w:sz w:val="28"/>
          <w:szCs w:val="28"/>
          <w:lang w:val="en-US" w:eastAsia="zh-CN"/>
        </w:rPr>
      </w:pPr>
      <w:bookmarkStart w:id="15" w:name="_Toc5235"/>
      <w:bookmarkStart w:id="16" w:name="_Toc20426"/>
      <w:r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  <w:t>（四）绩效评价指标体系</w:t>
      </w:r>
      <w:bookmarkEnd w:id="15"/>
      <w:bookmarkEnd w:id="16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rPr>
          <w:rFonts w:ascii="Times New Roman" w:hAnsi="Times New Roman" w:eastAsia="仿宋_GB2312" w:cs="Times New Roman"/>
          <w:kern w:val="2"/>
          <w:sz w:val="28"/>
          <w:szCs w:val="28"/>
          <w:lang w:eastAsia="zh-CN"/>
        </w:rPr>
      </w:pPr>
      <w:r>
        <w:rPr>
          <w:rFonts w:hint="eastAsia" w:ascii="Times New Roman" w:hAnsi="Times New Roman" w:eastAsia="仿宋_GB2312" w:cs="Times New Roman"/>
          <w:kern w:val="2"/>
          <w:sz w:val="28"/>
          <w:szCs w:val="28"/>
          <w:lang w:eastAsia="zh-CN"/>
        </w:rPr>
        <w:t>按照《湖南省财政厅关于印发湖南省预算支出绩效评价管理办法的通知》（湘财绩〔</w:t>
      </w:r>
      <w:r>
        <w:rPr>
          <w:rFonts w:ascii="Times New Roman" w:hAnsi="Times New Roman" w:eastAsia="仿宋_GB2312" w:cs="Times New Roman"/>
          <w:kern w:val="2"/>
          <w:sz w:val="28"/>
          <w:szCs w:val="28"/>
          <w:lang w:eastAsia="zh-CN"/>
        </w:rPr>
        <w:t>2020</w:t>
      </w:r>
      <w:r>
        <w:rPr>
          <w:rFonts w:hint="eastAsia" w:ascii="Times New Roman" w:hAnsi="Times New Roman" w:eastAsia="仿宋_GB2312" w:cs="Times New Roman"/>
          <w:kern w:val="2"/>
          <w:sz w:val="28"/>
          <w:szCs w:val="28"/>
          <w:lang w:eastAsia="zh-CN"/>
        </w:rPr>
        <w:t>〕</w:t>
      </w:r>
      <w:r>
        <w:rPr>
          <w:rFonts w:ascii="Times New Roman" w:hAnsi="Times New Roman" w:eastAsia="仿宋_GB2312" w:cs="Times New Roman"/>
          <w:kern w:val="2"/>
          <w:sz w:val="28"/>
          <w:szCs w:val="28"/>
          <w:lang w:eastAsia="zh-CN"/>
        </w:rPr>
        <w:t>7</w:t>
      </w:r>
      <w:r>
        <w:rPr>
          <w:rFonts w:hint="eastAsia" w:ascii="Times New Roman" w:hAnsi="Times New Roman" w:eastAsia="仿宋_GB2312" w:cs="Times New Roman"/>
          <w:kern w:val="2"/>
          <w:sz w:val="28"/>
          <w:szCs w:val="28"/>
          <w:lang w:eastAsia="zh-CN"/>
        </w:rPr>
        <w:t>号）要求，评价组</w:t>
      </w:r>
      <w:r>
        <w:rPr>
          <w:rFonts w:ascii="Times New Roman" w:hAnsi="Times New Roman" w:eastAsia="仿宋_GB2312" w:cs="Times New Roman"/>
          <w:kern w:val="2"/>
          <w:sz w:val="28"/>
          <w:szCs w:val="28"/>
          <w:lang w:eastAsia="zh-CN"/>
        </w:rPr>
        <w:t>从绩效指标设计的原则分析，结合项目实际情况，</w:t>
      </w:r>
      <w:r>
        <w:rPr>
          <w:rFonts w:hint="eastAsia" w:ascii="Times New Roman" w:hAnsi="Times New Roman" w:eastAsia="仿宋_GB2312" w:cs="Times New Roman"/>
          <w:kern w:val="2"/>
          <w:sz w:val="28"/>
          <w:szCs w:val="28"/>
          <w:lang w:eastAsia="zh-CN"/>
        </w:rPr>
        <w:t>设计了本项目支出的评价指标体系。</w:t>
      </w:r>
      <w:r>
        <w:rPr>
          <w:rFonts w:ascii="Times New Roman" w:hAnsi="Times New Roman" w:eastAsia="仿宋_GB2312" w:cs="Times New Roman"/>
          <w:kern w:val="2"/>
          <w:sz w:val="28"/>
          <w:szCs w:val="28"/>
          <w:lang w:eastAsia="zh-CN"/>
        </w:rPr>
        <w:t>本次绩效评价指标设计应重点包括四</w:t>
      </w:r>
      <w:r>
        <w:rPr>
          <w:rFonts w:hint="eastAsia" w:ascii="Times New Roman" w:hAnsi="Times New Roman" w:eastAsia="仿宋_GB2312" w:cs="Times New Roman"/>
          <w:kern w:val="2"/>
          <w:sz w:val="28"/>
          <w:szCs w:val="28"/>
          <w:lang w:eastAsia="zh-CN"/>
        </w:rPr>
        <w:t>个维度</w:t>
      </w:r>
      <w:r>
        <w:rPr>
          <w:rFonts w:ascii="Times New Roman" w:hAnsi="Times New Roman" w:eastAsia="仿宋_GB2312" w:cs="Times New Roman"/>
          <w:kern w:val="2"/>
          <w:sz w:val="28"/>
          <w:szCs w:val="28"/>
          <w:lang w:eastAsia="zh-CN"/>
        </w:rPr>
        <w:t>内容，一是项目决策指标，即通过评价项目立项依据充分性、立项程序规范性、绩效目标合理性、绩效指标明确性来分析项目决策是否科学合理；二是项目过程指标，即通过评价</w:t>
      </w:r>
      <w:r>
        <w:rPr>
          <w:rFonts w:hint="eastAsia" w:ascii="Times New Roman" w:hAnsi="Times New Roman" w:eastAsia="仿宋_GB2312" w:cs="Times New Roman"/>
          <w:kern w:val="2"/>
          <w:sz w:val="28"/>
          <w:szCs w:val="28"/>
          <w:lang w:eastAsia="zh-CN"/>
        </w:rPr>
        <w:t>招标过程合规性</w:t>
      </w:r>
      <w:r>
        <w:rPr>
          <w:rFonts w:ascii="Times New Roman" w:hAnsi="Times New Roman" w:eastAsia="仿宋_GB2312" w:cs="Times New Roman"/>
          <w:kern w:val="2"/>
          <w:sz w:val="28"/>
          <w:szCs w:val="28"/>
          <w:lang w:eastAsia="zh-CN"/>
        </w:rPr>
        <w:t>、</w:t>
      </w:r>
      <w:r>
        <w:rPr>
          <w:rFonts w:hint="eastAsia" w:ascii="Times New Roman" w:hAnsi="Times New Roman" w:eastAsia="仿宋_GB2312" w:cs="Times New Roman"/>
          <w:kern w:val="2"/>
          <w:sz w:val="28"/>
          <w:szCs w:val="28"/>
          <w:lang w:eastAsia="zh-CN"/>
        </w:rPr>
        <w:t>投标过程合规性、开标过程合规性、评标过程合规性、中标过程合规性及</w:t>
      </w:r>
      <w:r>
        <w:rPr>
          <w:rFonts w:ascii="Times New Roman" w:hAnsi="Times New Roman" w:eastAsia="仿宋_GB2312" w:cs="Times New Roman"/>
          <w:kern w:val="2"/>
          <w:sz w:val="28"/>
          <w:szCs w:val="28"/>
          <w:lang w:eastAsia="zh-CN"/>
        </w:rPr>
        <w:t>资金使用合规性来分析项目实施过程所采取的组织措施是否完备；三是项目产出指标，即从产出的数量指标、质量指标</w:t>
      </w:r>
      <w:r>
        <w:rPr>
          <w:rFonts w:hint="eastAsia" w:ascii="Times New Roman" w:hAnsi="Times New Roman" w:eastAsia="仿宋_GB2312" w:cs="Times New Roman"/>
          <w:kern w:val="2"/>
          <w:sz w:val="28"/>
          <w:szCs w:val="28"/>
          <w:lang w:eastAsia="zh-CN"/>
        </w:rPr>
        <w:t>和</w:t>
      </w:r>
      <w:r>
        <w:rPr>
          <w:rFonts w:ascii="Times New Roman" w:hAnsi="Times New Roman" w:eastAsia="仿宋_GB2312" w:cs="Times New Roman"/>
          <w:kern w:val="2"/>
          <w:sz w:val="28"/>
          <w:szCs w:val="28"/>
          <w:lang w:eastAsia="zh-CN"/>
        </w:rPr>
        <w:t>时效指标分析工作开展是否全面、及时执行到位，检测是否符合预期质量要求，检测成本是否合理等；四是项目效益指标，即通过对实施</w:t>
      </w:r>
      <w:r>
        <w:rPr>
          <w:rFonts w:hint="eastAsia" w:ascii="Times New Roman" w:hAnsi="Times New Roman" w:eastAsia="仿宋_GB2312" w:cs="Times New Roman"/>
          <w:kern w:val="2"/>
          <w:sz w:val="28"/>
          <w:szCs w:val="28"/>
          <w:lang w:eastAsia="zh-CN"/>
        </w:rPr>
        <w:t>邵东市农业农村局2021年种子采购资金项目</w:t>
      </w:r>
      <w:r>
        <w:rPr>
          <w:rFonts w:ascii="Times New Roman" w:hAnsi="Times New Roman" w:eastAsia="仿宋_GB2312" w:cs="Times New Roman"/>
          <w:kern w:val="2"/>
          <w:sz w:val="28"/>
          <w:szCs w:val="28"/>
          <w:lang w:eastAsia="zh-CN"/>
        </w:rPr>
        <w:t>所产生的社会效益方面进行全面分析，以验证</w:t>
      </w:r>
      <w:r>
        <w:rPr>
          <w:rFonts w:hint="eastAsia" w:ascii="Times New Roman" w:hAnsi="Times New Roman" w:eastAsia="仿宋_GB2312" w:cs="Times New Roman"/>
          <w:kern w:val="2"/>
          <w:sz w:val="28"/>
          <w:szCs w:val="28"/>
          <w:lang w:eastAsia="zh-CN"/>
        </w:rPr>
        <w:t>项目</w:t>
      </w:r>
      <w:r>
        <w:rPr>
          <w:rFonts w:ascii="Times New Roman" w:hAnsi="Times New Roman" w:eastAsia="仿宋_GB2312" w:cs="Times New Roman"/>
          <w:kern w:val="2"/>
          <w:sz w:val="28"/>
          <w:szCs w:val="28"/>
          <w:lang w:eastAsia="zh-CN"/>
        </w:rPr>
        <w:t>的</w:t>
      </w:r>
      <w:r>
        <w:rPr>
          <w:rFonts w:hint="eastAsia" w:ascii="Times New Roman" w:hAnsi="Times New Roman" w:eastAsia="仿宋_GB2312" w:cs="Times New Roman"/>
          <w:kern w:val="2"/>
          <w:sz w:val="28"/>
          <w:szCs w:val="28"/>
          <w:lang w:eastAsia="zh-CN"/>
        </w:rPr>
        <w:t>开展</w:t>
      </w:r>
      <w:r>
        <w:rPr>
          <w:rFonts w:ascii="Times New Roman" w:hAnsi="Times New Roman" w:eastAsia="仿宋_GB2312" w:cs="Times New Roman"/>
          <w:kern w:val="2"/>
          <w:sz w:val="28"/>
          <w:szCs w:val="28"/>
          <w:lang w:eastAsia="zh-CN"/>
        </w:rPr>
        <w:t>是否产生了积极良好的效果，达成了预期目标。通过对社会公众及服务对象进行满意度调查，了解其对项目实施效果的满意情况</w:t>
      </w:r>
      <w:r>
        <w:rPr>
          <w:rFonts w:hint="eastAsia" w:ascii="Times New Roman" w:hAnsi="Times New Roman" w:eastAsia="仿宋_GB2312" w:cs="Times New Roman"/>
          <w:kern w:val="2"/>
          <w:sz w:val="28"/>
          <w:szCs w:val="28"/>
          <w:lang w:eastAsia="zh-C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rPr>
          <w:rFonts w:ascii="Times New Roman" w:hAnsi="Times New Roman" w:eastAsia="仿宋_GB2312" w:cs="Times New Roman"/>
          <w:kern w:val="2"/>
          <w:sz w:val="28"/>
          <w:szCs w:val="28"/>
          <w:lang w:eastAsia="zh-CN"/>
        </w:rPr>
      </w:pPr>
      <w:r>
        <w:rPr>
          <w:rFonts w:hint="eastAsia" w:ascii="Times New Roman" w:hAnsi="Times New Roman" w:eastAsia="仿宋_GB2312" w:cs="Times New Roman"/>
          <w:kern w:val="2"/>
          <w:sz w:val="28"/>
          <w:szCs w:val="28"/>
          <w:lang w:eastAsia="zh-CN"/>
        </w:rPr>
        <w:t>每个维度由一级、二级、三级指标构成，满分</w:t>
      </w:r>
      <w:r>
        <w:rPr>
          <w:rFonts w:ascii="Times New Roman" w:hAnsi="Times New Roman" w:eastAsia="仿宋_GB2312" w:cs="Times New Roman"/>
          <w:kern w:val="2"/>
          <w:sz w:val="28"/>
          <w:szCs w:val="28"/>
          <w:lang w:eastAsia="zh-CN"/>
        </w:rPr>
        <w:t>100</w:t>
      </w:r>
      <w:r>
        <w:rPr>
          <w:rFonts w:hint="eastAsia" w:ascii="Times New Roman" w:hAnsi="Times New Roman" w:eastAsia="仿宋_GB2312" w:cs="Times New Roman"/>
          <w:kern w:val="2"/>
          <w:sz w:val="28"/>
          <w:szCs w:val="28"/>
          <w:lang w:eastAsia="zh-CN"/>
        </w:rPr>
        <w:t>分。绩效评价结果分为四个等级：</w:t>
      </w:r>
      <w:r>
        <w:rPr>
          <w:rFonts w:ascii="Times New Roman" w:hAnsi="Times New Roman" w:eastAsia="仿宋_GB2312" w:cs="Times New Roman"/>
          <w:kern w:val="2"/>
          <w:sz w:val="28"/>
          <w:szCs w:val="28"/>
          <w:lang w:eastAsia="zh-CN"/>
        </w:rPr>
        <w:t>90</w:t>
      </w:r>
      <w:r>
        <w:rPr>
          <w:rFonts w:hint="eastAsia" w:ascii="Times New Roman" w:hAnsi="Times New Roman" w:eastAsia="仿宋_GB2312" w:cs="Times New Roman"/>
          <w:kern w:val="2"/>
          <w:sz w:val="28"/>
          <w:szCs w:val="28"/>
          <w:lang w:eastAsia="zh-CN"/>
        </w:rPr>
        <w:t>分（含）—</w:t>
      </w:r>
      <w:r>
        <w:rPr>
          <w:rFonts w:ascii="Times New Roman" w:hAnsi="Times New Roman" w:eastAsia="仿宋_GB2312" w:cs="Times New Roman"/>
          <w:kern w:val="2"/>
          <w:sz w:val="28"/>
          <w:szCs w:val="28"/>
          <w:lang w:eastAsia="zh-CN"/>
        </w:rPr>
        <w:t>100</w:t>
      </w:r>
      <w:r>
        <w:rPr>
          <w:rFonts w:hint="eastAsia" w:ascii="Times New Roman" w:hAnsi="Times New Roman" w:eastAsia="仿宋_GB2312" w:cs="Times New Roman"/>
          <w:kern w:val="2"/>
          <w:sz w:val="28"/>
          <w:szCs w:val="28"/>
          <w:lang w:eastAsia="zh-CN"/>
        </w:rPr>
        <w:t>分为优秀，</w:t>
      </w:r>
      <w:r>
        <w:rPr>
          <w:rFonts w:hint="eastAsia" w:ascii="Times New Roman" w:hAnsi="Times New Roman" w:eastAsia="仿宋_GB2312" w:cs="Times New Roman"/>
          <w:kern w:val="2"/>
          <w:sz w:val="28"/>
          <w:szCs w:val="28"/>
          <w:lang w:val="en-US" w:eastAsia="zh-CN"/>
        </w:rPr>
        <w:t>75</w:t>
      </w:r>
      <w:r>
        <w:rPr>
          <w:rFonts w:hint="eastAsia" w:ascii="Times New Roman" w:hAnsi="Times New Roman" w:eastAsia="仿宋_GB2312" w:cs="Times New Roman"/>
          <w:kern w:val="2"/>
          <w:sz w:val="28"/>
          <w:szCs w:val="28"/>
          <w:lang w:eastAsia="zh-CN"/>
        </w:rPr>
        <w:t>分（含）—</w:t>
      </w:r>
      <w:r>
        <w:rPr>
          <w:rFonts w:hint="eastAsia" w:ascii="Times New Roman" w:hAnsi="Times New Roman" w:eastAsia="仿宋_GB2312" w:cs="Times New Roman"/>
          <w:kern w:val="2"/>
          <w:sz w:val="28"/>
          <w:szCs w:val="28"/>
          <w:lang w:val="en-US" w:eastAsia="zh-CN"/>
        </w:rPr>
        <w:t>90</w:t>
      </w:r>
      <w:r>
        <w:rPr>
          <w:rFonts w:hint="eastAsia" w:ascii="Times New Roman" w:hAnsi="Times New Roman" w:eastAsia="仿宋_GB2312" w:cs="Times New Roman"/>
          <w:kern w:val="2"/>
          <w:sz w:val="28"/>
          <w:szCs w:val="28"/>
          <w:lang w:eastAsia="zh-CN"/>
        </w:rPr>
        <w:t>分为良好，</w:t>
      </w:r>
      <w:r>
        <w:rPr>
          <w:rFonts w:ascii="Times New Roman" w:hAnsi="Times New Roman" w:eastAsia="仿宋_GB2312" w:cs="Times New Roman"/>
          <w:kern w:val="2"/>
          <w:sz w:val="28"/>
          <w:szCs w:val="28"/>
          <w:lang w:eastAsia="zh-CN"/>
        </w:rPr>
        <w:t>60</w:t>
      </w:r>
      <w:r>
        <w:rPr>
          <w:rFonts w:hint="eastAsia" w:ascii="Times New Roman" w:hAnsi="Times New Roman" w:eastAsia="仿宋_GB2312" w:cs="Times New Roman"/>
          <w:kern w:val="2"/>
          <w:sz w:val="28"/>
          <w:szCs w:val="28"/>
          <w:lang w:eastAsia="zh-CN"/>
        </w:rPr>
        <w:t>分（含）—</w:t>
      </w:r>
      <w:r>
        <w:rPr>
          <w:rFonts w:hint="eastAsia" w:ascii="Times New Roman" w:hAnsi="Times New Roman" w:eastAsia="仿宋_GB2312" w:cs="Times New Roman"/>
          <w:kern w:val="2"/>
          <w:sz w:val="28"/>
          <w:szCs w:val="28"/>
          <w:lang w:val="en-US" w:eastAsia="zh-CN"/>
        </w:rPr>
        <w:t>75</w:t>
      </w:r>
      <w:r>
        <w:rPr>
          <w:rFonts w:hint="eastAsia" w:ascii="Times New Roman" w:hAnsi="Times New Roman" w:eastAsia="仿宋_GB2312" w:cs="Times New Roman"/>
          <w:kern w:val="2"/>
          <w:sz w:val="28"/>
          <w:szCs w:val="28"/>
          <w:lang w:eastAsia="zh-CN"/>
        </w:rPr>
        <w:t>分为一般，</w:t>
      </w:r>
      <w:r>
        <w:rPr>
          <w:rFonts w:ascii="Times New Roman" w:hAnsi="Times New Roman" w:eastAsia="仿宋_GB2312" w:cs="Times New Roman"/>
          <w:kern w:val="2"/>
          <w:sz w:val="28"/>
          <w:szCs w:val="28"/>
          <w:lang w:eastAsia="zh-CN"/>
        </w:rPr>
        <w:t>60</w:t>
      </w:r>
      <w:r>
        <w:rPr>
          <w:rFonts w:hint="eastAsia" w:ascii="Times New Roman" w:hAnsi="Times New Roman" w:eastAsia="仿宋_GB2312" w:cs="Times New Roman"/>
          <w:kern w:val="2"/>
          <w:sz w:val="28"/>
          <w:szCs w:val="28"/>
          <w:lang w:eastAsia="zh-CN"/>
        </w:rPr>
        <w:t>分以下为较差。</w:t>
      </w:r>
    </w:p>
    <w:p>
      <w:pPr>
        <w:pStyle w:val="14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2"/>
        <w:jc w:val="both"/>
        <w:outlineLvl w:val="1"/>
        <w:rPr>
          <w:rFonts w:ascii="楷体" w:hAnsi="楷体" w:eastAsia="楷体" w:cs="楷体"/>
          <w:b/>
          <w:bCs/>
          <w:sz w:val="28"/>
          <w:szCs w:val="28"/>
          <w:lang w:val="en-US" w:eastAsia="zh-CN"/>
        </w:rPr>
      </w:pPr>
      <w:bookmarkStart w:id="17" w:name="_Toc19823"/>
      <w:bookmarkStart w:id="18" w:name="_Toc12119"/>
      <w:r>
        <w:rPr>
          <w:rFonts w:hint="eastAsia" w:ascii="楷体" w:hAnsi="楷体" w:eastAsia="楷体" w:cs="楷体"/>
          <w:b/>
          <w:bCs/>
          <w:sz w:val="28"/>
          <w:szCs w:val="28"/>
          <w:lang w:val="en-US" w:eastAsia="zh-CN"/>
        </w:rPr>
        <w:t>（五）开展项目现场评价</w:t>
      </w:r>
      <w:bookmarkEnd w:id="17"/>
      <w:bookmarkEnd w:id="18"/>
    </w:p>
    <w:p>
      <w:pPr>
        <w:pStyle w:val="141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/>
        <w:jc w:val="both"/>
        <w:rPr>
          <w:rFonts w:ascii="楷体" w:hAnsi="楷体" w:eastAsia="楷体" w:cs="楷体"/>
          <w:b/>
          <w:bCs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 w:cs="Times New Roman"/>
          <w:kern w:val="2"/>
          <w:sz w:val="28"/>
          <w:szCs w:val="28"/>
          <w:lang w:val="en-US" w:eastAsia="zh-CN"/>
        </w:rPr>
        <w:t>现场评价工作内容主要有：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ind w:firstLine="562" w:firstLineChars="200"/>
        <w:jc w:val="both"/>
        <w:rPr>
          <w:rFonts w:ascii="Times New Roman" w:hAnsi="Times New Roman" w:eastAsia="仿宋_GB2312" w:cs="Times New Roman"/>
          <w:kern w:val="2"/>
          <w:sz w:val="28"/>
          <w:szCs w:val="28"/>
          <w:lang w:eastAsia="zh-CN"/>
        </w:rPr>
      </w:pPr>
      <w:r>
        <w:rPr>
          <w:rFonts w:ascii="Times New Roman" w:hAnsi="Times New Roman" w:eastAsia="仿宋_GB2312" w:cs="Times New Roman"/>
          <w:b/>
          <w:bCs/>
          <w:kern w:val="2"/>
          <w:sz w:val="28"/>
          <w:szCs w:val="28"/>
          <w:lang w:eastAsia="zh-CN"/>
        </w:rPr>
        <w:t>1</w:t>
      </w:r>
      <w:r>
        <w:rPr>
          <w:rFonts w:hint="eastAsia" w:ascii="Times New Roman" w:hAnsi="Times New Roman" w:eastAsia="仿宋_GB2312" w:cs="Times New Roman"/>
          <w:b/>
          <w:bCs/>
          <w:kern w:val="2"/>
          <w:sz w:val="28"/>
          <w:szCs w:val="28"/>
          <w:lang w:eastAsia="zh-CN"/>
        </w:rPr>
        <w:t>.资料收集。</w:t>
      </w:r>
      <w:r>
        <w:rPr>
          <w:rFonts w:hint="eastAsia" w:ascii="Times New Roman" w:hAnsi="Times New Roman" w:eastAsia="仿宋_GB2312" w:cs="Times New Roman"/>
          <w:kern w:val="2"/>
          <w:sz w:val="28"/>
          <w:szCs w:val="28"/>
          <w:lang w:eastAsia="zh-CN"/>
        </w:rPr>
        <w:t>收集与2021年种子采购资金项目有关的资料，如：与政策制度相关的通知档案、与招投标流程相关的合同协议书和计划审批表等、与合同履约保障相关的资金管理制度和财务制度等、以及与具体实施效果相关的会计资料和自评报告等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ind w:firstLine="562" w:firstLineChars="200"/>
        <w:jc w:val="both"/>
        <w:rPr>
          <w:rFonts w:ascii="Times New Roman" w:hAnsi="Times New Roman" w:eastAsia="仿宋_GB2312" w:cs="Times New Roman"/>
          <w:kern w:val="2"/>
          <w:sz w:val="28"/>
          <w:szCs w:val="28"/>
          <w:lang w:eastAsia="zh-CN"/>
        </w:rPr>
      </w:pPr>
      <w:r>
        <w:rPr>
          <w:rFonts w:ascii="Times New Roman" w:hAnsi="Times New Roman" w:eastAsia="仿宋_GB2312" w:cs="Times New Roman"/>
          <w:b/>
          <w:bCs/>
          <w:kern w:val="2"/>
          <w:sz w:val="28"/>
          <w:szCs w:val="28"/>
          <w:lang w:eastAsia="zh-CN"/>
        </w:rPr>
        <w:t>2</w:t>
      </w:r>
      <w:r>
        <w:rPr>
          <w:rFonts w:hint="eastAsia" w:ascii="Times New Roman" w:hAnsi="Times New Roman" w:eastAsia="仿宋_GB2312" w:cs="Times New Roman"/>
          <w:b/>
          <w:bCs/>
          <w:kern w:val="2"/>
          <w:sz w:val="28"/>
          <w:szCs w:val="28"/>
          <w:lang w:eastAsia="zh-CN"/>
        </w:rPr>
        <w:t>.沟通交流。</w:t>
      </w:r>
      <w:r>
        <w:rPr>
          <w:rFonts w:hint="eastAsia" w:ascii="Times New Roman" w:hAnsi="Times New Roman" w:eastAsia="仿宋_GB2312" w:cs="Times New Roman"/>
          <w:kern w:val="2"/>
          <w:sz w:val="28"/>
          <w:szCs w:val="28"/>
          <w:lang w:eastAsia="zh-CN"/>
        </w:rPr>
        <w:t>向熟悉相关政策人员以及项目立项、实施、管理的相关人员询问具体情况，听取项目实施单位对评价内容相关情况的介绍。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ind w:firstLine="562" w:firstLineChars="200"/>
        <w:jc w:val="both"/>
        <w:rPr>
          <w:rFonts w:ascii="Times New Roman" w:hAnsi="Times New Roman" w:eastAsia="仿宋_GB2312" w:cs="Times New Roman"/>
          <w:kern w:val="2"/>
          <w:sz w:val="28"/>
          <w:szCs w:val="28"/>
          <w:lang w:eastAsia="zh-CN"/>
        </w:rPr>
      </w:pPr>
      <w:r>
        <w:rPr>
          <w:rFonts w:ascii="Times New Roman" w:hAnsi="Times New Roman" w:eastAsia="仿宋_GB2312" w:cs="Times New Roman"/>
          <w:b/>
          <w:bCs/>
          <w:kern w:val="2"/>
          <w:sz w:val="28"/>
          <w:szCs w:val="28"/>
          <w:lang w:eastAsia="zh-CN"/>
        </w:rPr>
        <w:t>3</w:t>
      </w:r>
      <w:r>
        <w:rPr>
          <w:rFonts w:hint="eastAsia" w:ascii="Times New Roman" w:hAnsi="Times New Roman" w:eastAsia="仿宋_GB2312" w:cs="Times New Roman"/>
          <w:b/>
          <w:bCs/>
          <w:kern w:val="2"/>
          <w:sz w:val="28"/>
          <w:szCs w:val="28"/>
          <w:lang w:eastAsia="zh-CN"/>
        </w:rPr>
        <w:t>.实地核查。</w:t>
      </w:r>
      <w:r>
        <w:rPr>
          <w:rFonts w:hint="eastAsia" w:ascii="Times New Roman" w:hAnsi="Times New Roman" w:eastAsia="仿宋_GB2312" w:cs="Times New Roman"/>
          <w:kern w:val="2"/>
          <w:sz w:val="28"/>
          <w:szCs w:val="28"/>
          <w:lang w:eastAsia="zh-CN"/>
        </w:rPr>
        <w:t>通过询问、核对、勘查、检查等方法，对</w:t>
      </w:r>
      <w:r>
        <w:rPr>
          <w:rFonts w:hint="eastAsia" w:ascii="Times New Roman" w:hAnsi="Times New Roman" w:eastAsia="仿宋_GB2312" w:cs="Times New Roman"/>
          <w:kern w:val="2"/>
          <w:sz w:val="28"/>
          <w:szCs w:val="28"/>
          <w:lang w:val="en-US" w:eastAsia="zh-CN"/>
        </w:rPr>
        <w:t>2021年种子采购</w:t>
      </w:r>
      <w:r>
        <w:rPr>
          <w:rFonts w:hint="eastAsia" w:ascii="Times New Roman" w:hAnsi="Times New Roman" w:eastAsia="仿宋_GB2312" w:cs="Times New Roman"/>
          <w:kern w:val="2"/>
          <w:sz w:val="28"/>
          <w:szCs w:val="28"/>
          <w:lang w:eastAsia="zh-CN"/>
        </w:rPr>
        <w:t>项目和资金管理制度的建立和健全情况、管理责任制的建立和落实情况、项目建设和完成情况、资金使用情况等进行现场检查和核实，获取绩效评价需要的基础资料。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ind w:firstLine="562" w:firstLineChars="200"/>
        <w:jc w:val="both"/>
        <w:rPr>
          <w:rFonts w:ascii="Times New Roman" w:hAnsi="Times New Roman" w:eastAsia="仿宋_GB2312" w:cs="Times New Roman"/>
          <w:kern w:val="2"/>
          <w:sz w:val="28"/>
          <w:szCs w:val="28"/>
          <w:lang w:eastAsia="zh-CN"/>
        </w:rPr>
      </w:pPr>
      <w:r>
        <w:rPr>
          <w:rFonts w:hint="eastAsia" w:ascii="Times New Roman" w:hAnsi="Times New Roman" w:eastAsia="仿宋_GB2312" w:cs="Times New Roman"/>
          <w:b/>
          <w:bCs/>
          <w:kern w:val="2"/>
          <w:sz w:val="28"/>
          <w:szCs w:val="28"/>
          <w:lang w:val="en-US" w:eastAsia="zh-CN"/>
        </w:rPr>
        <w:t>4</w:t>
      </w:r>
      <w:r>
        <w:rPr>
          <w:rFonts w:hint="eastAsia" w:ascii="Times New Roman" w:hAnsi="Times New Roman" w:eastAsia="仿宋_GB2312" w:cs="Times New Roman"/>
          <w:b/>
          <w:bCs/>
          <w:kern w:val="2"/>
          <w:sz w:val="28"/>
          <w:szCs w:val="28"/>
          <w:lang w:eastAsia="zh-CN"/>
        </w:rPr>
        <w:t>.综合分析。</w:t>
      </w:r>
      <w:r>
        <w:rPr>
          <w:rFonts w:hint="eastAsia" w:ascii="Times New Roman" w:hAnsi="Times New Roman" w:eastAsia="仿宋_GB2312" w:cs="Times New Roman"/>
          <w:kern w:val="2"/>
          <w:sz w:val="28"/>
          <w:szCs w:val="28"/>
          <w:lang w:eastAsia="zh-CN"/>
        </w:rPr>
        <w:t>归纳汇总提供的佐证资料及项目单位的自评报告，结合现场调查情况进行综合分析。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ind w:firstLine="562" w:firstLineChars="200"/>
        <w:jc w:val="both"/>
        <w:rPr>
          <w:rFonts w:hint="eastAsia" w:ascii="Times New Roman" w:hAnsi="Times New Roman" w:eastAsia="仿宋_GB2312" w:cs="Times New Roman"/>
          <w:kern w:val="2"/>
          <w:sz w:val="28"/>
          <w:szCs w:val="28"/>
          <w:lang w:eastAsia="zh-CN"/>
        </w:rPr>
      </w:pPr>
      <w:r>
        <w:rPr>
          <w:rFonts w:hint="eastAsia" w:ascii="Times New Roman" w:hAnsi="Times New Roman" w:eastAsia="仿宋_GB2312" w:cs="Times New Roman"/>
          <w:b/>
          <w:bCs/>
          <w:kern w:val="2"/>
          <w:sz w:val="28"/>
          <w:szCs w:val="28"/>
          <w:lang w:val="en-US" w:eastAsia="zh-CN"/>
        </w:rPr>
        <w:t>5</w:t>
      </w:r>
      <w:r>
        <w:rPr>
          <w:rFonts w:hint="eastAsia" w:ascii="Times New Roman" w:hAnsi="Times New Roman" w:eastAsia="仿宋_GB2312" w:cs="Times New Roman"/>
          <w:b/>
          <w:bCs/>
          <w:kern w:val="2"/>
          <w:sz w:val="28"/>
          <w:szCs w:val="28"/>
          <w:lang w:eastAsia="zh-CN"/>
        </w:rPr>
        <w:t>.撰写评价报告。</w:t>
      </w:r>
      <w:r>
        <w:rPr>
          <w:rFonts w:hint="eastAsia" w:ascii="Times New Roman" w:hAnsi="Times New Roman" w:eastAsia="仿宋_GB2312" w:cs="Times New Roman"/>
          <w:kern w:val="2"/>
          <w:sz w:val="28"/>
          <w:szCs w:val="28"/>
          <w:lang w:eastAsia="zh-CN"/>
        </w:rPr>
        <w:t>评价组依据各项评价指标进行评价和打分，形成绩效评价报告。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ind w:firstLine="560" w:firstLineChars="200"/>
        <w:jc w:val="both"/>
        <w:outlineLvl w:val="0"/>
        <w:rPr>
          <w:rFonts w:ascii="黑体" w:hAnsi="黑体" w:eastAsia="黑体" w:cs="黑体"/>
          <w:kern w:val="2"/>
          <w:sz w:val="28"/>
          <w:szCs w:val="28"/>
          <w:lang w:eastAsia="zh-CN"/>
        </w:rPr>
      </w:pPr>
      <w:bookmarkStart w:id="19" w:name="_Toc4262"/>
      <w:bookmarkStart w:id="20" w:name="_Toc15890"/>
      <w:r>
        <w:rPr>
          <w:rFonts w:hint="eastAsia" w:ascii="黑体" w:hAnsi="黑体" w:eastAsia="黑体" w:cs="黑体"/>
          <w:kern w:val="2"/>
          <w:sz w:val="28"/>
          <w:szCs w:val="28"/>
          <w:lang w:eastAsia="zh-CN"/>
        </w:rPr>
        <w:t>三、绩效评价指标分析</w:t>
      </w:r>
      <w:bookmarkEnd w:id="19"/>
      <w:bookmarkEnd w:id="20"/>
    </w:p>
    <w:p>
      <w:pPr>
        <w:pStyle w:val="2"/>
        <w:keepNext w:val="0"/>
        <w:keepLines w:val="0"/>
        <w:pageBreakBefore w:val="0"/>
        <w:numPr>
          <w:ilvl w:val="0"/>
          <w:numId w:val="1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ind w:firstLine="562" w:firstLineChars="200"/>
        <w:jc w:val="both"/>
        <w:outlineLvl w:val="1"/>
        <w:rPr>
          <w:rFonts w:ascii="楷体" w:hAnsi="楷体" w:eastAsia="楷体" w:cs="楷体"/>
          <w:b/>
          <w:bCs/>
          <w:kern w:val="2"/>
          <w:sz w:val="28"/>
          <w:szCs w:val="28"/>
          <w:lang w:eastAsia="zh-CN"/>
        </w:rPr>
      </w:pPr>
      <w:bookmarkStart w:id="21" w:name="_Toc1899"/>
      <w:bookmarkStart w:id="22" w:name="_Toc3883"/>
      <w:r>
        <w:rPr>
          <w:rFonts w:hint="eastAsia" w:ascii="楷体" w:hAnsi="楷体" w:eastAsia="楷体" w:cs="楷体"/>
          <w:b/>
          <w:bCs/>
          <w:kern w:val="2"/>
          <w:sz w:val="28"/>
          <w:szCs w:val="28"/>
          <w:lang w:eastAsia="zh-CN"/>
        </w:rPr>
        <w:t>项目决策情况</w:t>
      </w:r>
      <w:bookmarkEnd w:id="21"/>
      <w:bookmarkEnd w:id="22"/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ind w:firstLine="562" w:firstLineChars="200"/>
        <w:jc w:val="both"/>
        <w:rPr>
          <w:rFonts w:ascii="Times New Roman" w:hAnsi="Times New Roman" w:eastAsia="仿宋_GB2312" w:cs="Times New Roman"/>
          <w:b/>
          <w:bCs/>
          <w:kern w:val="2"/>
          <w:sz w:val="28"/>
          <w:szCs w:val="28"/>
          <w:lang w:eastAsia="zh-CN"/>
        </w:rPr>
      </w:pPr>
      <w:r>
        <w:rPr>
          <w:rFonts w:hint="eastAsia" w:ascii="Times New Roman" w:hAnsi="Times New Roman" w:eastAsia="仿宋_GB2312" w:cs="Times New Roman"/>
          <w:b/>
          <w:bCs/>
          <w:kern w:val="2"/>
          <w:sz w:val="28"/>
          <w:szCs w:val="28"/>
          <w:lang w:eastAsia="zh-CN"/>
        </w:rPr>
        <w:t>1.项目立项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both"/>
        <w:rPr>
          <w:rFonts w:ascii="Times New Roman" w:hAnsi="Times New Roman" w:eastAsia="仿宋_GB2312" w:cs="Times New Roman"/>
          <w:kern w:val="2"/>
          <w:sz w:val="28"/>
          <w:szCs w:val="28"/>
          <w:lang w:eastAsia="zh-CN"/>
        </w:rPr>
      </w:pPr>
      <w:r>
        <w:rPr>
          <w:rFonts w:hint="eastAsia" w:ascii="Times New Roman" w:hAnsi="Times New Roman" w:eastAsia="仿宋_GB2312" w:cs="Times New Roman"/>
          <w:kern w:val="2"/>
          <w:sz w:val="28"/>
          <w:szCs w:val="28"/>
          <w:lang w:eastAsia="zh-CN"/>
        </w:rPr>
        <w:t>项目立项符合国家法律法规、国民经济发展规划和相关政策；符合行业发展规划和政策要求；与部门职责范围相符；属于公共财政支持范围；未与相关部门同类项目或部门内部相关项目重复。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jc w:val="both"/>
        <w:rPr>
          <w:rFonts w:ascii="Times New Roman" w:hAnsi="Times New Roman" w:eastAsia="仿宋_GB2312" w:cs="Times New Roman"/>
          <w:kern w:val="2"/>
          <w:sz w:val="28"/>
          <w:szCs w:val="28"/>
          <w:lang w:eastAsia="zh-CN"/>
        </w:rPr>
      </w:pPr>
      <w:r>
        <w:rPr>
          <w:rFonts w:hint="eastAsia" w:ascii="Times New Roman" w:hAnsi="Times New Roman" w:eastAsia="仿宋_GB2312" w:cs="Times New Roman"/>
          <w:kern w:val="2"/>
          <w:sz w:val="28"/>
          <w:szCs w:val="28"/>
          <w:lang w:eastAsia="zh-CN"/>
        </w:rPr>
        <w:t>项目按照规定的程序申请设立，审批文件符合相关要求，事前已经过集体决策等程序。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ind w:firstLine="562" w:firstLineChars="200"/>
        <w:jc w:val="both"/>
        <w:rPr>
          <w:rFonts w:ascii="Times New Roman" w:hAnsi="Times New Roman" w:eastAsia="仿宋_GB2312" w:cs="Times New Roman"/>
          <w:b/>
          <w:bCs/>
          <w:kern w:val="2"/>
          <w:sz w:val="28"/>
          <w:szCs w:val="28"/>
          <w:lang w:eastAsia="zh-CN"/>
        </w:rPr>
      </w:pPr>
      <w:r>
        <w:rPr>
          <w:rFonts w:hint="eastAsia" w:ascii="Times New Roman" w:hAnsi="Times New Roman" w:eastAsia="仿宋_GB2312" w:cs="Times New Roman"/>
          <w:b/>
          <w:bCs/>
          <w:kern w:val="2"/>
          <w:sz w:val="28"/>
          <w:szCs w:val="28"/>
          <w:lang w:eastAsia="zh-CN"/>
        </w:rPr>
        <w:t>2.绩效目标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ind w:firstLine="560" w:firstLineChars="200"/>
        <w:jc w:val="both"/>
        <w:rPr>
          <w:rFonts w:ascii="Times New Roman" w:hAnsi="Times New Roman" w:eastAsia="仿宋_GB2312" w:cs="Times New Roman"/>
          <w:kern w:val="2"/>
          <w:sz w:val="28"/>
          <w:szCs w:val="28"/>
          <w:lang w:eastAsia="zh-CN"/>
        </w:rPr>
      </w:pPr>
      <w:r>
        <w:rPr>
          <w:rFonts w:ascii="Times New Roman" w:hAnsi="Times New Roman" w:eastAsia="仿宋_GB2312" w:cs="Times New Roman"/>
          <w:kern w:val="2"/>
          <w:sz w:val="28"/>
          <w:szCs w:val="28"/>
          <w:lang w:eastAsia="zh-CN"/>
        </w:rPr>
        <w:t>绩效目标指标</w:t>
      </w:r>
      <w:r>
        <w:rPr>
          <w:rFonts w:hint="eastAsia" w:ascii="Times New Roman" w:hAnsi="Times New Roman" w:eastAsia="仿宋_GB2312" w:cs="Times New Roman"/>
          <w:kern w:val="2"/>
          <w:sz w:val="28"/>
          <w:szCs w:val="28"/>
          <w:lang w:eastAsia="zh-CN"/>
        </w:rPr>
        <w:t>未细化，未确定项目产出效益和效果。</w:t>
      </w:r>
    </w:p>
    <w:p>
      <w:pPr>
        <w:pStyle w:val="2"/>
        <w:keepNext w:val="0"/>
        <w:keepLines w:val="0"/>
        <w:pageBreakBefore w:val="0"/>
        <w:numPr>
          <w:ilvl w:val="0"/>
          <w:numId w:val="1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ind w:firstLine="562" w:firstLineChars="200"/>
        <w:jc w:val="both"/>
        <w:outlineLvl w:val="1"/>
        <w:rPr>
          <w:rFonts w:ascii="楷体" w:hAnsi="楷体" w:eastAsia="楷体" w:cs="楷体"/>
          <w:b/>
          <w:bCs/>
          <w:kern w:val="2"/>
          <w:sz w:val="28"/>
          <w:szCs w:val="28"/>
          <w:lang w:eastAsia="zh-CN"/>
        </w:rPr>
      </w:pPr>
      <w:bookmarkStart w:id="23" w:name="_Toc24213"/>
      <w:bookmarkStart w:id="24" w:name="_Toc21432"/>
      <w:r>
        <w:rPr>
          <w:rFonts w:hint="eastAsia" w:ascii="楷体" w:hAnsi="楷体" w:eastAsia="楷体" w:cs="楷体"/>
          <w:b/>
          <w:bCs/>
          <w:kern w:val="2"/>
          <w:sz w:val="28"/>
          <w:szCs w:val="28"/>
          <w:lang w:eastAsia="zh-CN"/>
        </w:rPr>
        <w:t>项目过程情况</w:t>
      </w:r>
      <w:bookmarkEnd w:id="23"/>
      <w:bookmarkEnd w:id="24"/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ind w:firstLine="562" w:firstLineChars="200"/>
        <w:jc w:val="both"/>
        <w:rPr>
          <w:rFonts w:hint="eastAsia" w:ascii="楷体" w:hAnsi="楷体" w:eastAsia="楷体" w:cs="楷体"/>
          <w:b/>
          <w:bCs/>
          <w:kern w:val="2"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/>
          <w:bCs/>
          <w:kern w:val="2"/>
          <w:sz w:val="28"/>
          <w:szCs w:val="28"/>
          <w:lang w:eastAsia="zh-CN"/>
        </w:rPr>
        <w:t>1.资金管理情况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75"/>
        <w:rPr>
          <w:rFonts w:hint="eastAsia"/>
          <w:lang w:eastAsia="zh-CN"/>
        </w:rPr>
      </w:pPr>
      <w:r>
        <w:rPr>
          <w:rFonts w:hint="eastAsia" w:ascii="Times New Roman" w:hAnsi="Times New Roman" w:eastAsia="仿宋_GB2312" w:cs="Times New Roman"/>
          <w:kern w:val="2"/>
          <w:sz w:val="28"/>
          <w:szCs w:val="28"/>
          <w:lang w:eastAsia="zh-CN"/>
        </w:rPr>
        <w:t>（1）资金到位率。项目原预算金额700万元，追加预算560万元，实际支出1260万元；2021年到位700万元，预算资金到位率55.56%。</w:t>
      </w:r>
    </w:p>
    <w:tbl>
      <w:tblPr>
        <w:tblStyle w:val="38"/>
        <w:tblW w:w="0" w:type="auto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6"/>
        <w:gridCol w:w="1931"/>
        <w:gridCol w:w="1525"/>
        <w:gridCol w:w="3629"/>
        <w:gridCol w:w="158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</w:trPr>
        <w:tc>
          <w:tcPr>
            <w:tcW w:w="0" w:type="auto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3000" w:firstLineChars="1000"/>
              <w:textAlignment w:val="center"/>
              <w:rPr>
                <w:rFonts w:ascii="黑体" w:hAnsi="黑体" w:eastAsia="黑体" w:cs="仿宋"/>
                <w:color w:val="000000"/>
                <w:sz w:val="30"/>
                <w:szCs w:val="30"/>
                <w:lang w:eastAsia="zh-CN"/>
              </w:rPr>
            </w:pPr>
            <w:r>
              <w:rPr>
                <w:rFonts w:hint="eastAsia" w:ascii="黑体" w:hAnsi="黑体" w:eastAsia="黑体" w:cs="仿宋"/>
                <w:color w:val="000000"/>
                <w:sz w:val="30"/>
                <w:szCs w:val="30"/>
                <w:lang w:eastAsia="zh-CN"/>
              </w:rPr>
              <w:t>资金到位情况表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 w:bidi="ar"/>
              </w:rPr>
              <w:t>编号</w:t>
            </w:r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 w:bidi="ar"/>
              </w:rPr>
              <w:t>指标文件号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 w:bidi="ar"/>
              </w:rPr>
              <w:t>下达时间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 w:bidi="ar"/>
              </w:rPr>
              <w:t>摘要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 w:bidi="ar"/>
              </w:rPr>
              <w:t>金额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 w:bidi="ar"/>
              </w:rPr>
              <w:t>1</w:t>
            </w:r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 w:bidi="ar"/>
              </w:rPr>
              <w:t>邵财农指【2021】0168号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 w:bidi="ar"/>
              </w:rPr>
              <w:t>2021-11-29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 w:bidi="ar"/>
              </w:rPr>
              <w:t>2021年市本级发展粮食生产专项资金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 w:bidi="ar"/>
              </w:rPr>
              <w:t xml:space="preserve">7,000,000.00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 w:bidi="ar"/>
              </w:rPr>
              <w:t>2</w:t>
            </w:r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 w:bidi="ar"/>
              </w:rPr>
              <w:t>邵财农指【2022】0077号</w:t>
            </w: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 w:bidi="ar"/>
              </w:rPr>
              <w:t>2022-5-12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 w:bidi="ar"/>
              </w:rPr>
              <w:t>追加2021年种子采购款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 w:bidi="ar"/>
              </w:rPr>
              <w:t xml:space="preserve">5,600,000.00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1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1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840" w:firstLineChars="400"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 w:bidi="ar"/>
              </w:rPr>
              <w:t>合   计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textAlignment w:val="center"/>
              <w:rPr>
                <w:rFonts w:ascii="仿宋" w:hAnsi="仿宋" w:eastAsia="仿宋" w:cs="仿宋"/>
                <w:color w:val="000000"/>
                <w:sz w:val="21"/>
                <w:szCs w:val="21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1"/>
                <w:szCs w:val="21"/>
                <w:lang w:eastAsia="zh-CN" w:bidi="ar"/>
              </w:rPr>
              <w:t xml:space="preserve">12,600,000.00 </w:t>
            </w:r>
          </w:p>
        </w:tc>
      </w:tr>
    </w:tbl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75"/>
        <w:rPr>
          <w:rFonts w:hint="eastAsia" w:ascii="Times New Roman" w:hAnsi="Times New Roman" w:eastAsia="仿宋_GB2312" w:cs="Times New Roman"/>
          <w:kern w:val="2"/>
          <w:sz w:val="28"/>
          <w:szCs w:val="28"/>
          <w:lang w:eastAsia="zh-CN"/>
        </w:rPr>
      </w:pPr>
      <w:r>
        <w:rPr>
          <w:rFonts w:hint="eastAsia" w:ascii="Times New Roman" w:hAnsi="Times New Roman" w:eastAsia="仿宋_GB2312" w:cs="Times New Roman"/>
          <w:kern w:val="2"/>
          <w:sz w:val="28"/>
          <w:szCs w:val="28"/>
          <w:lang w:eastAsia="zh-CN"/>
        </w:rPr>
        <w:t>（2）预算执行率。2021年项目资金累计拨付使用700万元，预算执行率55.56%，未支付货款560万元。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75"/>
        <w:rPr>
          <w:rFonts w:ascii="Times New Roman" w:hAnsi="Times New Roman" w:eastAsia="仿宋_GB2312" w:cs="Times New Roman"/>
          <w:kern w:val="2"/>
          <w:sz w:val="28"/>
          <w:szCs w:val="28"/>
          <w:lang w:eastAsia="zh-CN"/>
        </w:rPr>
      </w:pPr>
      <w:r>
        <w:rPr>
          <w:rFonts w:hint="eastAsia" w:ascii="Times New Roman" w:hAnsi="Times New Roman" w:eastAsia="仿宋_GB2312" w:cs="Times New Roman"/>
          <w:kern w:val="2"/>
          <w:sz w:val="28"/>
          <w:szCs w:val="28"/>
          <w:lang w:eastAsia="zh-CN"/>
        </w:rPr>
        <w:t>（3）资金使用合规性。市农业农村局根据单位财务管理制度对资金进行管理，各项支出由经办部门申请，财务复核，分管局领导审核，分管财务副局长审批后拨付。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ind w:firstLine="562" w:firstLineChars="200"/>
        <w:jc w:val="both"/>
        <w:rPr>
          <w:rFonts w:hint="eastAsia" w:ascii="楷体" w:hAnsi="楷体" w:eastAsia="楷体" w:cs="楷体"/>
          <w:b/>
          <w:bCs/>
          <w:kern w:val="2"/>
          <w:sz w:val="28"/>
          <w:szCs w:val="28"/>
          <w:lang w:eastAsia="zh-CN"/>
        </w:rPr>
      </w:pPr>
      <w:bookmarkStart w:id="25" w:name="_Toc2395"/>
      <w:r>
        <w:rPr>
          <w:rFonts w:hint="eastAsia" w:ascii="楷体" w:hAnsi="楷体" w:eastAsia="楷体" w:cs="楷体"/>
          <w:b/>
          <w:bCs/>
          <w:kern w:val="2"/>
          <w:sz w:val="28"/>
          <w:szCs w:val="28"/>
          <w:lang w:eastAsia="zh-CN"/>
        </w:rPr>
        <w:t>2. 组织实施情况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rPr>
          <w:rFonts w:hint="eastAsia" w:ascii="Times New Roman" w:hAnsi="Times New Roman" w:eastAsia="仿宋_GB2312" w:cs="Times New Roman"/>
          <w:kern w:val="2"/>
          <w:sz w:val="28"/>
          <w:szCs w:val="28"/>
          <w:lang w:eastAsia="zh-CN"/>
        </w:rPr>
      </w:pPr>
      <w:r>
        <w:rPr>
          <w:rFonts w:hint="eastAsia" w:ascii="Times New Roman" w:hAnsi="Times New Roman" w:eastAsia="仿宋_GB2312" w:cs="Times New Roman"/>
          <w:kern w:val="2"/>
          <w:sz w:val="28"/>
          <w:szCs w:val="28"/>
          <w:lang w:eastAsia="zh-CN"/>
        </w:rPr>
        <w:t>（1）管理制度健全性。资金管理方面建立了专项资金管理方案（审议稿）；项目管理方面未建立实施方案和分配方案，也未建立考核和验收方案。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rPr>
          <w:rFonts w:ascii="Times New Roman" w:hAnsi="Times New Roman" w:eastAsia="仿宋_GB2312" w:cs="Times New Roman"/>
          <w:kern w:val="2"/>
          <w:sz w:val="28"/>
          <w:szCs w:val="28"/>
          <w:lang w:eastAsia="zh-CN"/>
        </w:rPr>
      </w:pPr>
      <w:r>
        <w:rPr>
          <w:rFonts w:hint="eastAsia" w:ascii="Times New Roman" w:hAnsi="Times New Roman" w:eastAsia="仿宋_GB2312" w:cs="Times New Roman"/>
          <w:kern w:val="2"/>
          <w:sz w:val="28"/>
          <w:szCs w:val="28"/>
          <w:lang w:eastAsia="zh-CN"/>
        </w:rPr>
        <w:t>（2）组织实施程序。种子、壮秧剂、谷粒饱等生产物资由市农业农村局统一采购，免费发放，委托湖南全至工程咨询有限公司代理公开采购。本项目在采购程序、采购方式符合《中华人民共和国招标投标法》、《中华人民共和国政府采购法》及其实施条例法规要求，从招标、投标、开标、评标到中标，整个采购程序基本合规合法。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2" w:firstLineChars="200"/>
        <w:outlineLvl w:val="1"/>
        <w:rPr>
          <w:rFonts w:hint="eastAsia" w:ascii="楷体" w:hAnsi="楷体" w:eastAsia="楷体" w:cs="楷体"/>
          <w:b/>
          <w:bCs/>
          <w:kern w:val="2"/>
          <w:sz w:val="28"/>
          <w:szCs w:val="28"/>
          <w:lang w:eastAsia="zh-CN"/>
        </w:rPr>
      </w:pPr>
      <w:bookmarkStart w:id="26" w:name="_Toc3961"/>
      <w:r>
        <w:rPr>
          <w:rFonts w:hint="eastAsia" w:ascii="楷体" w:hAnsi="楷体" w:eastAsia="楷体" w:cs="楷体"/>
          <w:b/>
          <w:bCs/>
          <w:kern w:val="2"/>
          <w:sz w:val="28"/>
          <w:szCs w:val="28"/>
          <w:lang w:eastAsia="zh-CN"/>
        </w:rPr>
        <w:t>（三）项目产出情况</w:t>
      </w:r>
      <w:bookmarkEnd w:id="26"/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rPr>
          <w:rFonts w:ascii="Times New Roman" w:hAnsi="Times New Roman" w:eastAsia="仿宋_GB2312" w:cs="Times New Roman"/>
          <w:kern w:val="2"/>
          <w:sz w:val="28"/>
          <w:szCs w:val="28"/>
          <w:lang w:eastAsia="zh-CN"/>
        </w:rPr>
      </w:pPr>
      <w:r>
        <w:rPr>
          <w:rFonts w:hint="eastAsia" w:ascii="Times New Roman" w:hAnsi="Times New Roman" w:eastAsia="仿宋_GB2312" w:cs="Times New Roman"/>
          <w:kern w:val="2"/>
          <w:sz w:val="28"/>
          <w:szCs w:val="28"/>
          <w:lang w:eastAsia="zh-CN"/>
        </w:rPr>
        <w:t>1. 数量指标。2021年实际完成：粮食生产总面积105.62万亩，总产45.5万吨，早稻栽插面积26.51万亩。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rPr>
          <w:rFonts w:hint="eastAsia" w:ascii="Times New Roman" w:hAnsi="Times New Roman" w:eastAsia="仿宋_GB2312" w:cs="Times New Roman"/>
          <w:kern w:val="2"/>
          <w:sz w:val="28"/>
          <w:szCs w:val="28"/>
          <w:lang w:eastAsia="zh-CN"/>
        </w:rPr>
      </w:pPr>
      <w:r>
        <w:rPr>
          <w:rFonts w:hint="eastAsia" w:ascii="Times New Roman" w:hAnsi="Times New Roman" w:eastAsia="仿宋_GB2312" w:cs="Times New Roman"/>
          <w:kern w:val="2"/>
          <w:sz w:val="28"/>
          <w:szCs w:val="28"/>
          <w:lang w:eastAsia="zh-CN"/>
        </w:rPr>
        <w:t>2. 质量指标。采购的优质种子、谷粒饱、壮秧剂、化肥质量合格率没考核体系，也没有验收资料。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rPr>
          <w:rFonts w:hint="eastAsia" w:ascii="Times New Roman" w:hAnsi="Times New Roman" w:eastAsia="仿宋_GB2312" w:cs="Times New Roman"/>
          <w:kern w:val="2"/>
          <w:sz w:val="28"/>
          <w:szCs w:val="28"/>
          <w:lang w:eastAsia="zh-CN"/>
        </w:rPr>
      </w:pPr>
      <w:r>
        <w:rPr>
          <w:rFonts w:hint="eastAsia" w:ascii="Times New Roman" w:hAnsi="Times New Roman" w:eastAsia="仿宋_GB2312" w:cs="Times New Roman"/>
          <w:kern w:val="2"/>
          <w:sz w:val="28"/>
          <w:szCs w:val="28"/>
          <w:lang w:eastAsia="zh-CN"/>
        </w:rPr>
        <w:t>3. 时效指标。种子、谷粒饱、壮秧剂、化肥均能按农耕需求投放。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rPr>
          <w:rFonts w:hint="eastAsia" w:ascii="Times New Roman" w:hAnsi="Times New Roman" w:eastAsia="仿宋_GB2312" w:cs="Times New Roman"/>
          <w:kern w:val="2"/>
          <w:sz w:val="28"/>
          <w:szCs w:val="28"/>
          <w:lang w:eastAsia="zh-CN"/>
        </w:rPr>
      </w:pPr>
      <w:r>
        <w:rPr>
          <w:rFonts w:hint="eastAsia" w:ascii="Times New Roman" w:hAnsi="Times New Roman" w:eastAsia="仿宋_GB2312" w:cs="Times New Roman"/>
          <w:kern w:val="2"/>
          <w:sz w:val="28"/>
          <w:szCs w:val="28"/>
          <w:lang w:eastAsia="zh-CN"/>
        </w:rPr>
        <w:t>4. 成本指标。项目原预算700万，追加预算560万元。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2" w:firstLineChars="200"/>
        <w:outlineLvl w:val="1"/>
        <w:rPr>
          <w:rFonts w:hint="eastAsia" w:ascii="楷体" w:hAnsi="楷体" w:eastAsia="楷体" w:cs="楷体"/>
          <w:b/>
          <w:bCs/>
          <w:kern w:val="2"/>
          <w:sz w:val="28"/>
          <w:szCs w:val="28"/>
          <w:lang w:eastAsia="zh-CN"/>
        </w:rPr>
      </w:pPr>
      <w:bookmarkStart w:id="27" w:name="_Toc27944"/>
      <w:r>
        <w:rPr>
          <w:rFonts w:hint="eastAsia" w:ascii="楷体" w:hAnsi="楷体" w:eastAsia="楷体" w:cs="楷体"/>
          <w:b/>
          <w:bCs/>
          <w:kern w:val="2"/>
          <w:sz w:val="28"/>
          <w:szCs w:val="28"/>
          <w:lang w:eastAsia="zh-CN"/>
        </w:rPr>
        <w:t>（四）项目效益</w:t>
      </w:r>
      <w:bookmarkEnd w:id="27"/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Times New Roman" w:hAnsi="Times New Roman" w:eastAsia="仿宋_GB2312" w:cs="Times New Roman"/>
          <w:kern w:val="2"/>
          <w:sz w:val="28"/>
          <w:szCs w:val="28"/>
          <w:lang w:eastAsia="zh-CN"/>
        </w:rPr>
      </w:pPr>
      <w:r>
        <w:rPr>
          <w:rFonts w:hint="eastAsia" w:ascii="Times New Roman" w:hAnsi="Times New Roman" w:eastAsia="仿宋_GB2312" w:cs="Times New Roman"/>
          <w:kern w:val="2"/>
          <w:sz w:val="28"/>
          <w:szCs w:val="28"/>
          <w:lang w:eastAsia="zh-CN"/>
        </w:rPr>
        <w:t>1. 引导恢复双季稻生产。通过双季稻生产资产的免费发放等激励引导作用，充分调动农户种植双季稻的积极性和热情，2021年全市早稻种植26.51万亩，比上级下达的任务增加1.01万亩，比邵东市的目标增加0.03万亩，全面完成双季稻扩种任务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Times New Roman" w:hAnsi="Times New Roman" w:eastAsia="仿宋_GB2312" w:cs="Times New Roman"/>
          <w:kern w:val="2"/>
          <w:sz w:val="28"/>
          <w:szCs w:val="28"/>
          <w:lang w:eastAsia="zh-CN"/>
        </w:rPr>
      </w:pPr>
      <w:r>
        <w:rPr>
          <w:rFonts w:hint="eastAsia" w:ascii="Times New Roman" w:hAnsi="Times New Roman" w:eastAsia="仿宋_GB2312" w:cs="Times New Roman"/>
          <w:kern w:val="2"/>
          <w:sz w:val="28"/>
          <w:szCs w:val="28"/>
          <w:lang w:eastAsia="zh-CN"/>
        </w:rPr>
        <w:t>2.  推广高档优质稻种植。市农业农村局通过发放优质晚稻种子等物资，推广了邵东市高档优质稻种植，邵东市粮食产能逐步提高，质量较大提升。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rPr>
          <w:rFonts w:ascii="Times New Roman" w:hAnsi="Times New Roman" w:eastAsia="仿宋_GB2312" w:cs="Times New Roman"/>
          <w:kern w:val="2"/>
          <w:sz w:val="28"/>
          <w:szCs w:val="28"/>
          <w:lang w:eastAsia="zh-CN"/>
        </w:rPr>
      </w:pPr>
      <w:r>
        <w:rPr>
          <w:rFonts w:hint="eastAsia" w:ascii="Times New Roman" w:hAnsi="Times New Roman" w:eastAsia="仿宋_GB2312" w:cs="Times New Roman"/>
          <w:kern w:val="2"/>
          <w:sz w:val="28"/>
          <w:szCs w:val="28"/>
          <w:lang w:eastAsia="zh-CN"/>
        </w:rPr>
        <w:t>3 确保粮食稳产增收。根据统计数据，2021年全市粮食总产量45.5万吨，灵官殿创建了一个万亩省级双季稻高产示范片，总面积1.02万亩。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Times New Roman" w:hAnsi="Times New Roman" w:eastAsia="仿宋_GB2312" w:cs="Times New Roman"/>
          <w:kern w:val="2"/>
          <w:sz w:val="28"/>
          <w:szCs w:val="28"/>
          <w:lang w:eastAsia="zh-CN"/>
        </w:rPr>
      </w:pPr>
      <w:r>
        <w:rPr>
          <w:rFonts w:hint="eastAsia" w:ascii="Times New Roman" w:hAnsi="Times New Roman" w:eastAsia="仿宋_GB2312" w:cs="Times New Roman"/>
          <w:kern w:val="2"/>
          <w:sz w:val="28"/>
          <w:szCs w:val="28"/>
          <w:lang w:eastAsia="zh-CN"/>
        </w:rPr>
        <w:t>4. 满意度。项目实施单位未进行问卷调查统计结果，但获得了湖南省2021年度粮食生产先进县荣誉称号。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440" w:firstLineChars="200"/>
        <w:textAlignment w:val="auto"/>
        <w:outlineLvl w:val="1"/>
        <w:rPr>
          <w:rFonts w:hint="eastAsia" w:ascii="楷体" w:hAnsi="楷体" w:eastAsia="楷体" w:cs="楷体"/>
          <w:b/>
          <w:bCs/>
          <w:kern w:val="2"/>
          <w:sz w:val="28"/>
          <w:szCs w:val="28"/>
          <w:lang w:eastAsia="zh-CN"/>
        </w:rPr>
      </w:pPr>
      <w:r>
        <w:rPr>
          <w:rFonts w:hint="eastAsia"/>
          <w:lang w:eastAsia="zh-CN"/>
        </w:rPr>
        <w:t xml:space="preserve"> </w:t>
      </w:r>
      <w:r>
        <w:rPr>
          <w:rFonts w:hint="eastAsia" w:ascii="楷体" w:hAnsi="楷体" w:eastAsia="楷体" w:cs="楷体"/>
          <w:b/>
          <w:bCs/>
          <w:kern w:val="2"/>
          <w:sz w:val="28"/>
          <w:szCs w:val="28"/>
          <w:lang w:eastAsia="zh-CN"/>
        </w:rPr>
        <w:t xml:space="preserve"> </w:t>
      </w:r>
      <w:bookmarkStart w:id="28" w:name="_Toc22962"/>
      <w:r>
        <w:rPr>
          <w:rFonts w:hint="eastAsia" w:ascii="楷体" w:hAnsi="楷体" w:eastAsia="楷体" w:cs="楷体"/>
          <w:b/>
          <w:bCs/>
          <w:kern w:val="2"/>
          <w:sz w:val="28"/>
          <w:szCs w:val="28"/>
          <w:lang w:eastAsia="zh-CN"/>
        </w:rPr>
        <w:t>（五）综合评价情况及评价结论</w:t>
      </w:r>
      <w:bookmarkEnd w:id="28"/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rPr>
          <w:rFonts w:hint="eastAsia" w:ascii="Times New Roman" w:hAnsi="Times New Roman" w:eastAsia="仿宋_GB2312" w:cs="Times New Roman"/>
          <w:kern w:val="2"/>
          <w:sz w:val="28"/>
          <w:szCs w:val="28"/>
          <w:lang w:eastAsia="zh-CN"/>
        </w:rPr>
      </w:pPr>
      <w:r>
        <w:rPr>
          <w:rFonts w:hint="eastAsia" w:ascii="Times New Roman" w:hAnsi="Times New Roman" w:eastAsia="仿宋_GB2312" w:cs="Times New Roman"/>
          <w:kern w:val="2"/>
          <w:sz w:val="28"/>
          <w:szCs w:val="28"/>
          <w:lang w:eastAsia="zh-CN"/>
        </w:rPr>
        <w:t>经综合评价，该项目得分</w:t>
      </w:r>
      <w:r>
        <w:rPr>
          <w:rFonts w:hint="eastAsia" w:ascii="Times New Roman" w:hAnsi="Times New Roman" w:eastAsia="仿宋_GB2312" w:cs="Times New Roman"/>
          <w:kern w:val="2"/>
          <w:sz w:val="28"/>
          <w:szCs w:val="28"/>
          <w:lang w:val="en-US" w:eastAsia="zh-CN"/>
        </w:rPr>
        <w:t>76</w:t>
      </w:r>
      <w:r>
        <w:rPr>
          <w:rFonts w:hint="eastAsia" w:ascii="Times New Roman" w:hAnsi="Times New Roman" w:eastAsia="仿宋_GB2312" w:cs="Times New Roman"/>
          <w:kern w:val="2"/>
          <w:sz w:val="28"/>
          <w:szCs w:val="28"/>
          <w:lang w:eastAsia="zh-CN"/>
        </w:rPr>
        <w:t>分，评价等级为“良好”，得（扣）分明细如下：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Times New Roman" w:hAnsi="Times New Roman" w:eastAsia="仿宋_GB2312" w:cs="Times New Roman"/>
          <w:kern w:val="2"/>
          <w:sz w:val="28"/>
          <w:szCs w:val="28"/>
          <w:lang w:eastAsia="zh-CN"/>
        </w:rPr>
      </w:pPr>
      <w:r>
        <w:rPr>
          <w:rFonts w:hint="eastAsia" w:ascii="Times New Roman" w:hAnsi="Times New Roman" w:eastAsia="仿宋_GB2312" w:cs="Times New Roman"/>
          <w:kern w:val="2"/>
          <w:sz w:val="28"/>
          <w:szCs w:val="28"/>
          <w:lang w:val="en-US" w:eastAsia="zh-CN"/>
        </w:rPr>
        <w:t>1.</w:t>
      </w:r>
      <w:r>
        <w:rPr>
          <w:rFonts w:hint="eastAsia" w:ascii="Times New Roman" w:hAnsi="Times New Roman" w:eastAsia="仿宋_GB2312" w:cs="Times New Roman"/>
          <w:kern w:val="2"/>
          <w:sz w:val="28"/>
          <w:szCs w:val="28"/>
          <w:lang w:eastAsia="zh-CN"/>
        </w:rPr>
        <w:t>项目决策总分</w:t>
      </w:r>
      <w:r>
        <w:rPr>
          <w:rFonts w:hint="eastAsia" w:ascii="Times New Roman" w:hAnsi="Times New Roman" w:eastAsia="仿宋_GB2312" w:cs="Times New Roman"/>
          <w:kern w:val="2"/>
          <w:sz w:val="28"/>
          <w:szCs w:val="28"/>
          <w:lang w:val="en-US" w:eastAsia="zh-CN"/>
        </w:rPr>
        <w:t>20</w:t>
      </w:r>
      <w:r>
        <w:rPr>
          <w:rFonts w:hint="eastAsia" w:ascii="Times New Roman" w:hAnsi="Times New Roman" w:eastAsia="仿宋_GB2312" w:cs="Times New Roman"/>
          <w:kern w:val="2"/>
          <w:sz w:val="28"/>
          <w:szCs w:val="28"/>
          <w:lang w:eastAsia="zh-CN"/>
        </w:rPr>
        <w:t>分，实得1</w:t>
      </w:r>
      <w:r>
        <w:rPr>
          <w:rFonts w:hint="eastAsia" w:ascii="Times New Roman" w:hAnsi="Times New Roman" w:eastAsia="仿宋_GB2312" w:cs="Times New Roman"/>
          <w:kern w:val="2"/>
          <w:sz w:val="28"/>
          <w:szCs w:val="28"/>
          <w:lang w:val="en-US" w:eastAsia="zh-CN"/>
        </w:rPr>
        <w:t>4</w:t>
      </w:r>
      <w:r>
        <w:rPr>
          <w:rFonts w:hint="eastAsia" w:ascii="Times New Roman" w:hAnsi="Times New Roman" w:eastAsia="仿宋_GB2312" w:cs="Times New Roman"/>
          <w:kern w:val="2"/>
          <w:sz w:val="28"/>
          <w:szCs w:val="28"/>
          <w:lang w:eastAsia="zh-CN"/>
        </w:rPr>
        <w:t>分，扣</w:t>
      </w:r>
      <w:r>
        <w:rPr>
          <w:rFonts w:hint="eastAsia" w:ascii="Times New Roman" w:hAnsi="Times New Roman" w:eastAsia="仿宋_GB2312" w:cs="Times New Roman"/>
          <w:kern w:val="2"/>
          <w:sz w:val="28"/>
          <w:szCs w:val="28"/>
          <w:lang w:val="en-US" w:eastAsia="zh-CN"/>
        </w:rPr>
        <w:t>6分，扣分明细：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default" w:ascii="Times New Roman" w:hAnsi="Times New Roman" w:eastAsia="仿宋_GB2312" w:cs="Times New Roman"/>
          <w:kern w:val="2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 w:cs="Times New Roman"/>
          <w:kern w:val="2"/>
          <w:sz w:val="28"/>
          <w:szCs w:val="28"/>
          <w:lang w:eastAsia="zh-CN"/>
        </w:rPr>
        <w:t>项目的绩效目标未细分、量化，扣</w:t>
      </w:r>
      <w:r>
        <w:rPr>
          <w:rFonts w:hint="eastAsia" w:ascii="Times New Roman" w:hAnsi="Times New Roman" w:eastAsia="仿宋_GB2312" w:cs="Times New Roman"/>
          <w:kern w:val="2"/>
          <w:sz w:val="28"/>
          <w:szCs w:val="28"/>
          <w:lang w:val="en-US" w:eastAsia="zh-CN"/>
        </w:rPr>
        <w:t>4</w:t>
      </w:r>
      <w:r>
        <w:rPr>
          <w:rFonts w:hint="eastAsia" w:ascii="Times New Roman" w:hAnsi="Times New Roman" w:eastAsia="仿宋_GB2312" w:cs="Times New Roman"/>
          <w:kern w:val="2"/>
          <w:sz w:val="28"/>
          <w:szCs w:val="28"/>
          <w:lang w:eastAsia="zh-CN"/>
        </w:rPr>
        <w:t>分。预算有重大调整，扣</w:t>
      </w:r>
      <w:r>
        <w:rPr>
          <w:rFonts w:hint="eastAsia" w:ascii="Times New Roman" w:hAnsi="Times New Roman" w:eastAsia="仿宋_GB2312" w:cs="Times New Roman"/>
          <w:kern w:val="2"/>
          <w:sz w:val="28"/>
          <w:szCs w:val="28"/>
          <w:lang w:val="en-US" w:eastAsia="zh-CN"/>
        </w:rPr>
        <w:t>2分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Times New Roman" w:hAnsi="Times New Roman" w:eastAsia="仿宋_GB2312" w:cs="Times New Roman"/>
          <w:kern w:val="2"/>
          <w:sz w:val="28"/>
          <w:szCs w:val="28"/>
          <w:lang w:eastAsia="zh-CN"/>
        </w:rPr>
      </w:pPr>
      <w:r>
        <w:rPr>
          <w:rFonts w:hint="eastAsia" w:ascii="Times New Roman" w:hAnsi="Times New Roman" w:eastAsia="仿宋_GB2312" w:cs="Times New Roman"/>
          <w:kern w:val="2"/>
          <w:sz w:val="28"/>
          <w:szCs w:val="28"/>
          <w:lang w:val="en-US" w:eastAsia="zh-CN"/>
        </w:rPr>
        <w:t>2.</w:t>
      </w:r>
      <w:r>
        <w:rPr>
          <w:rFonts w:hint="eastAsia" w:ascii="Times New Roman" w:hAnsi="Times New Roman" w:eastAsia="仿宋_GB2312" w:cs="Times New Roman"/>
          <w:kern w:val="2"/>
          <w:sz w:val="28"/>
          <w:szCs w:val="28"/>
          <w:lang w:eastAsia="zh-CN"/>
        </w:rPr>
        <w:t>项目过程总分</w:t>
      </w:r>
      <w:r>
        <w:rPr>
          <w:rFonts w:hint="eastAsia" w:ascii="Times New Roman" w:hAnsi="Times New Roman" w:eastAsia="仿宋_GB2312" w:cs="Times New Roman"/>
          <w:kern w:val="2"/>
          <w:sz w:val="28"/>
          <w:szCs w:val="28"/>
          <w:lang w:val="en-US" w:eastAsia="zh-CN"/>
        </w:rPr>
        <w:t>35</w:t>
      </w:r>
      <w:r>
        <w:rPr>
          <w:rFonts w:hint="eastAsia" w:ascii="Times New Roman" w:hAnsi="Times New Roman" w:eastAsia="仿宋_GB2312" w:cs="Times New Roman"/>
          <w:kern w:val="2"/>
          <w:sz w:val="28"/>
          <w:szCs w:val="28"/>
          <w:lang w:eastAsia="zh-CN"/>
        </w:rPr>
        <w:t>分，实得</w:t>
      </w:r>
      <w:r>
        <w:rPr>
          <w:rFonts w:hint="eastAsia" w:ascii="Times New Roman" w:hAnsi="Times New Roman" w:eastAsia="仿宋_GB2312" w:cs="Times New Roman"/>
          <w:kern w:val="2"/>
          <w:sz w:val="28"/>
          <w:szCs w:val="28"/>
          <w:lang w:val="en-US" w:eastAsia="zh-CN"/>
        </w:rPr>
        <w:t>22.5</w:t>
      </w:r>
      <w:r>
        <w:rPr>
          <w:rFonts w:hint="eastAsia" w:ascii="Times New Roman" w:hAnsi="Times New Roman" w:eastAsia="仿宋_GB2312" w:cs="Times New Roman"/>
          <w:kern w:val="2"/>
          <w:sz w:val="28"/>
          <w:szCs w:val="28"/>
          <w:lang w:eastAsia="zh-CN"/>
        </w:rPr>
        <w:t>分，扣</w:t>
      </w:r>
      <w:r>
        <w:rPr>
          <w:rFonts w:hint="eastAsia" w:ascii="Times New Roman" w:hAnsi="Times New Roman" w:eastAsia="仿宋_GB2312" w:cs="Times New Roman"/>
          <w:kern w:val="2"/>
          <w:sz w:val="28"/>
          <w:szCs w:val="28"/>
          <w:lang w:val="en-US" w:eastAsia="zh-CN"/>
        </w:rPr>
        <w:t>11</w:t>
      </w:r>
      <w:r>
        <w:rPr>
          <w:rFonts w:hint="eastAsia" w:ascii="Times New Roman" w:hAnsi="Times New Roman" w:eastAsia="仿宋_GB2312" w:cs="Times New Roman"/>
          <w:kern w:val="2"/>
          <w:sz w:val="28"/>
          <w:szCs w:val="28"/>
          <w:lang w:eastAsia="zh-CN"/>
        </w:rPr>
        <w:t>分，扣分明细：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Times New Roman" w:hAnsi="Times New Roman" w:eastAsia="仿宋_GB2312" w:cs="Times New Roman"/>
          <w:kern w:val="2"/>
          <w:sz w:val="28"/>
          <w:szCs w:val="28"/>
          <w:lang w:eastAsia="zh-CN"/>
        </w:rPr>
      </w:pPr>
      <w:r>
        <w:rPr>
          <w:rFonts w:hint="eastAsia" w:ascii="Times New Roman" w:hAnsi="Times New Roman" w:eastAsia="仿宋_GB2312" w:cs="Times New Roman"/>
          <w:kern w:val="2"/>
          <w:sz w:val="28"/>
          <w:szCs w:val="28"/>
          <w:lang w:eastAsia="zh-CN"/>
        </w:rPr>
        <w:t>（</w:t>
      </w:r>
      <w:r>
        <w:rPr>
          <w:rFonts w:hint="eastAsia" w:ascii="Times New Roman" w:hAnsi="Times New Roman" w:eastAsia="仿宋_GB2312" w:cs="Times New Roman"/>
          <w:kern w:val="2"/>
          <w:sz w:val="28"/>
          <w:szCs w:val="28"/>
          <w:lang w:val="en-US" w:eastAsia="zh-CN"/>
        </w:rPr>
        <w:t>1</w:t>
      </w:r>
      <w:r>
        <w:rPr>
          <w:rFonts w:hint="eastAsia" w:ascii="Times New Roman" w:hAnsi="Times New Roman" w:eastAsia="仿宋_GB2312" w:cs="Times New Roman"/>
          <w:kern w:val="2"/>
          <w:sz w:val="28"/>
          <w:szCs w:val="28"/>
          <w:lang w:eastAsia="zh-CN"/>
        </w:rPr>
        <w:t>）资金到位率</w:t>
      </w:r>
      <w:r>
        <w:rPr>
          <w:rFonts w:hint="eastAsia" w:ascii="Times New Roman" w:hAnsi="Times New Roman" w:eastAsia="仿宋_GB2312" w:cs="Times New Roman"/>
          <w:kern w:val="2"/>
          <w:sz w:val="28"/>
          <w:szCs w:val="28"/>
          <w:lang w:val="en-US" w:eastAsia="zh-CN"/>
        </w:rPr>
        <w:t>55.56%</w:t>
      </w:r>
      <w:r>
        <w:rPr>
          <w:rFonts w:hint="eastAsia" w:ascii="Times New Roman" w:hAnsi="Times New Roman" w:eastAsia="仿宋_GB2312" w:cs="Times New Roman"/>
          <w:kern w:val="2"/>
          <w:sz w:val="28"/>
          <w:szCs w:val="28"/>
          <w:lang w:eastAsia="zh-CN"/>
        </w:rPr>
        <w:t>，扣</w:t>
      </w:r>
      <w:r>
        <w:rPr>
          <w:rFonts w:hint="eastAsia" w:ascii="Times New Roman" w:hAnsi="Times New Roman" w:eastAsia="仿宋_GB2312" w:cs="Times New Roman"/>
          <w:kern w:val="2"/>
          <w:sz w:val="28"/>
          <w:szCs w:val="28"/>
          <w:lang w:val="en-US" w:eastAsia="zh-CN"/>
        </w:rPr>
        <w:t>2.22</w:t>
      </w:r>
      <w:r>
        <w:rPr>
          <w:rFonts w:hint="eastAsia" w:ascii="Times New Roman" w:hAnsi="Times New Roman" w:eastAsia="仿宋_GB2312" w:cs="Times New Roman"/>
          <w:kern w:val="2"/>
          <w:sz w:val="28"/>
          <w:szCs w:val="28"/>
          <w:lang w:eastAsia="zh-CN"/>
        </w:rPr>
        <w:t>分；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Times New Roman" w:hAnsi="Times New Roman" w:eastAsia="仿宋_GB2312" w:cs="Times New Roman"/>
          <w:kern w:val="2"/>
          <w:sz w:val="28"/>
          <w:szCs w:val="28"/>
          <w:lang w:eastAsia="zh-CN"/>
        </w:rPr>
      </w:pPr>
      <w:r>
        <w:rPr>
          <w:rFonts w:hint="eastAsia" w:ascii="Times New Roman" w:hAnsi="Times New Roman" w:eastAsia="仿宋_GB2312" w:cs="Times New Roman"/>
          <w:kern w:val="2"/>
          <w:sz w:val="28"/>
          <w:szCs w:val="28"/>
          <w:lang w:eastAsia="zh-CN"/>
        </w:rPr>
        <w:t>（</w:t>
      </w:r>
      <w:r>
        <w:rPr>
          <w:rFonts w:hint="eastAsia" w:ascii="Times New Roman" w:hAnsi="Times New Roman" w:eastAsia="仿宋_GB2312" w:cs="Times New Roman"/>
          <w:kern w:val="2"/>
          <w:sz w:val="28"/>
          <w:szCs w:val="28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kern w:val="2"/>
          <w:sz w:val="28"/>
          <w:szCs w:val="28"/>
          <w:lang w:eastAsia="zh-CN"/>
        </w:rPr>
        <w:t>） 资金支付进度</w:t>
      </w:r>
      <w:r>
        <w:rPr>
          <w:rFonts w:hint="eastAsia" w:ascii="Times New Roman" w:hAnsi="Times New Roman" w:eastAsia="仿宋_GB2312" w:cs="Times New Roman"/>
          <w:kern w:val="2"/>
          <w:sz w:val="28"/>
          <w:szCs w:val="28"/>
          <w:lang w:val="en-US" w:eastAsia="zh-CN"/>
        </w:rPr>
        <w:t>55.56%</w:t>
      </w:r>
      <w:r>
        <w:rPr>
          <w:rFonts w:hint="eastAsia" w:ascii="Times New Roman" w:hAnsi="Times New Roman" w:eastAsia="仿宋_GB2312" w:cs="Times New Roman"/>
          <w:kern w:val="2"/>
          <w:sz w:val="28"/>
          <w:szCs w:val="28"/>
          <w:lang w:eastAsia="zh-CN"/>
        </w:rPr>
        <w:t>，扣</w:t>
      </w:r>
      <w:r>
        <w:rPr>
          <w:rFonts w:hint="eastAsia" w:ascii="Times New Roman" w:hAnsi="Times New Roman" w:eastAsia="仿宋_GB2312" w:cs="Times New Roman"/>
          <w:kern w:val="2"/>
          <w:sz w:val="28"/>
          <w:szCs w:val="28"/>
          <w:lang w:val="en-US" w:eastAsia="zh-CN"/>
        </w:rPr>
        <w:t>1.78</w:t>
      </w:r>
      <w:r>
        <w:rPr>
          <w:rFonts w:hint="eastAsia" w:ascii="Times New Roman" w:hAnsi="Times New Roman" w:eastAsia="仿宋_GB2312" w:cs="Times New Roman"/>
          <w:kern w:val="2"/>
          <w:sz w:val="28"/>
          <w:szCs w:val="28"/>
          <w:lang w:eastAsia="zh-CN"/>
        </w:rPr>
        <w:t>分；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/>
          <w:lang w:eastAsia="zh-CN"/>
        </w:rPr>
      </w:pPr>
      <w:r>
        <w:rPr>
          <w:rFonts w:hint="eastAsia" w:ascii="Times New Roman" w:hAnsi="Times New Roman" w:eastAsia="仿宋_GB2312" w:cs="Times New Roman"/>
          <w:kern w:val="2"/>
          <w:sz w:val="28"/>
          <w:szCs w:val="28"/>
          <w:lang w:eastAsia="zh-CN"/>
        </w:rPr>
        <w:t>（</w:t>
      </w:r>
      <w:r>
        <w:rPr>
          <w:rFonts w:hint="eastAsia" w:ascii="Times New Roman" w:hAnsi="Times New Roman" w:eastAsia="仿宋_GB2312" w:cs="Times New Roman"/>
          <w:kern w:val="2"/>
          <w:sz w:val="28"/>
          <w:szCs w:val="28"/>
          <w:lang w:val="en-US" w:eastAsia="zh-CN"/>
        </w:rPr>
        <w:t>3</w:t>
      </w:r>
      <w:r>
        <w:rPr>
          <w:rFonts w:hint="eastAsia" w:ascii="Times New Roman" w:hAnsi="Times New Roman" w:eastAsia="仿宋_GB2312" w:cs="Times New Roman"/>
          <w:kern w:val="2"/>
          <w:sz w:val="28"/>
          <w:szCs w:val="28"/>
          <w:lang w:eastAsia="zh-CN"/>
        </w:rPr>
        <w:t>）未针对该项目建立专项资金管理办法，扣</w:t>
      </w:r>
      <w:r>
        <w:rPr>
          <w:rFonts w:hint="eastAsia" w:ascii="Times New Roman" w:hAnsi="Times New Roman" w:eastAsia="仿宋_GB2312" w:cs="Times New Roman"/>
          <w:kern w:val="2"/>
          <w:sz w:val="28"/>
          <w:szCs w:val="28"/>
          <w:lang w:val="en-US" w:eastAsia="zh-CN"/>
        </w:rPr>
        <w:t>1.5分；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Times New Roman" w:hAnsi="Times New Roman" w:eastAsia="仿宋_GB2312" w:cs="Times New Roman"/>
          <w:kern w:val="2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 w:cs="Times New Roman"/>
          <w:kern w:val="2"/>
          <w:sz w:val="28"/>
          <w:szCs w:val="28"/>
          <w:lang w:eastAsia="zh-CN"/>
        </w:rPr>
        <w:t>（</w:t>
      </w:r>
      <w:r>
        <w:rPr>
          <w:rFonts w:hint="eastAsia" w:ascii="Times New Roman" w:hAnsi="Times New Roman" w:eastAsia="仿宋_GB2312" w:cs="Times New Roman"/>
          <w:kern w:val="2"/>
          <w:sz w:val="28"/>
          <w:szCs w:val="28"/>
          <w:lang w:val="en-US" w:eastAsia="zh-CN"/>
        </w:rPr>
        <w:t>4</w:t>
      </w:r>
      <w:r>
        <w:rPr>
          <w:rFonts w:hint="eastAsia" w:ascii="Times New Roman" w:hAnsi="Times New Roman" w:eastAsia="仿宋_GB2312" w:cs="Times New Roman"/>
          <w:kern w:val="2"/>
          <w:sz w:val="28"/>
          <w:szCs w:val="28"/>
          <w:lang w:eastAsia="zh-CN"/>
        </w:rPr>
        <w:t>）资料归档不及时、不完整，扣</w:t>
      </w:r>
      <w:r>
        <w:rPr>
          <w:rFonts w:hint="eastAsia" w:ascii="Times New Roman" w:hAnsi="Times New Roman" w:eastAsia="仿宋_GB2312" w:cs="Times New Roman"/>
          <w:kern w:val="2"/>
          <w:sz w:val="28"/>
          <w:szCs w:val="28"/>
          <w:lang w:val="en-US" w:eastAsia="zh-CN"/>
        </w:rPr>
        <w:t>1.5分；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default" w:ascii="Times New Roman" w:hAnsi="Times New Roman" w:eastAsia="仿宋_GB2312" w:cs="Times New Roman"/>
          <w:kern w:val="2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 w:cs="Times New Roman"/>
          <w:kern w:val="2"/>
          <w:sz w:val="28"/>
          <w:szCs w:val="28"/>
          <w:lang w:val="en-US" w:eastAsia="zh-CN"/>
        </w:rPr>
        <w:t>（5）招标过程中采购实施计划所附资料不全面；扣1分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Times New Roman" w:hAnsi="Times New Roman" w:eastAsia="仿宋_GB2312" w:cs="Times New Roman"/>
          <w:kern w:val="2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 w:cs="Times New Roman"/>
          <w:kern w:val="2"/>
          <w:sz w:val="28"/>
          <w:szCs w:val="28"/>
          <w:lang w:val="en-US" w:eastAsia="zh-CN"/>
        </w:rPr>
        <w:t>（6）未建立项目实施方案，对质量检查、验收没有明确责任、要求，扣3分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default" w:ascii="Times New Roman" w:hAnsi="Times New Roman" w:eastAsia="仿宋_GB2312" w:cs="Times New Roman"/>
          <w:kern w:val="2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 w:cs="Times New Roman"/>
          <w:kern w:val="2"/>
          <w:sz w:val="28"/>
          <w:szCs w:val="28"/>
          <w:lang w:val="en-US" w:eastAsia="zh-CN"/>
        </w:rPr>
        <w:t>3.项目产出情况总分30，实得26分，扣4分，扣分明细：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Times New Roman" w:hAnsi="Times New Roman" w:eastAsia="仿宋_GB2312" w:cs="Times New Roman"/>
          <w:kern w:val="2"/>
          <w:sz w:val="28"/>
          <w:szCs w:val="28"/>
          <w:lang w:val="en-US" w:eastAsia="zh-CN"/>
        </w:rPr>
      </w:pPr>
      <w:r>
        <w:rPr>
          <w:rFonts w:hint="eastAsia" w:ascii="Times New Roman" w:hAnsi="Times New Roman" w:eastAsia="仿宋_GB2312" w:cs="Times New Roman"/>
          <w:kern w:val="2"/>
          <w:sz w:val="28"/>
          <w:szCs w:val="28"/>
          <w:lang w:val="en-US" w:eastAsia="zh-CN"/>
        </w:rPr>
        <w:t>质量达标率无相关资料，扣4分；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rPr>
          <w:rFonts w:hint="eastAsia" w:ascii="Times New Roman" w:hAnsi="Times New Roman" w:eastAsia="仿宋_GB2312" w:cs="Times New Roman"/>
          <w:kern w:val="2"/>
          <w:sz w:val="28"/>
          <w:szCs w:val="28"/>
          <w:lang w:eastAsia="zh-CN"/>
        </w:rPr>
      </w:pPr>
      <w:r>
        <w:rPr>
          <w:rFonts w:hint="eastAsia" w:ascii="Times New Roman" w:hAnsi="Times New Roman" w:eastAsia="仿宋_GB2312" w:cs="Times New Roman"/>
          <w:kern w:val="2"/>
          <w:sz w:val="28"/>
          <w:szCs w:val="28"/>
          <w:lang w:val="en-US" w:eastAsia="zh-CN"/>
        </w:rPr>
        <w:t xml:space="preserve">        4.</w:t>
      </w:r>
      <w:r>
        <w:rPr>
          <w:rFonts w:hint="eastAsia" w:ascii="Times New Roman" w:hAnsi="Times New Roman" w:eastAsia="仿宋_GB2312" w:cs="Times New Roman"/>
          <w:kern w:val="2"/>
          <w:sz w:val="28"/>
          <w:szCs w:val="28"/>
          <w:lang w:eastAsia="zh-CN"/>
        </w:rPr>
        <w:t>项目效益情况总分</w:t>
      </w:r>
      <w:r>
        <w:rPr>
          <w:rFonts w:hint="eastAsia" w:ascii="Times New Roman" w:hAnsi="Times New Roman" w:eastAsia="仿宋_GB2312" w:cs="Times New Roman"/>
          <w:kern w:val="2"/>
          <w:sz w:val="28"/>
          <w:szCs w:val="28"/>
          <w:lang w:val="en-US" w:eastAsia="zh-CN"/>
        </w:rPr>
        <w:t>15</w:t>
      </w:r>
      <w:r>
        <w:rPr>
          <w:rFonts w:hint="eastAsia" w:ascii="Times New Roman" w:hAnsi="Times New Roman" w:eastAsia="仿宋_GB2312" w:cs="Times New Roman"/>
          <w:kern w:val="2"/>
          <w:sz w:val="28"/>
          <w:szCs w:val="28"/>
          <w:lang w:eastAsia="zh-CN"/>
        </w:rPr>
        <w:t>，实得</w:t>
      </w:r>
      <w:r>
        <w:rPr>
          <w:rFonts w:hint="eastAsia" w:ascii="Times New Roman" w:hAnsi="Times New Roman" w:eastAsia="仿宋_GB2312" w:cs="Times New Roman"/>
          <w:kern w:val="2"/>
          <w:sz w:val="28"/>
          <w:szCs w:val="28"/>
          <w:lang w:val="en-US" w:eastAsia="zh-CN"/>
        </w:rPr>
        <w:t>12</w:t>
      </w:r>
      <w:r>
        <w:rPr>
          <w:rFonts w:hint="eastAsia" w:ascii="Times New Roman" w:hAnsi="Times New Roman" w:eastAsia="仿宋_GB2312" w:cs="Times New Roman"/>
          <w:kern w:val="2"/>
          <w:sz w:val="28"/>
          <w:szCs w:val="28"/>
          <w:lang w:eastAsia="zh-CN"/>
        </w:rPr>
        <w:t>分，扣</w:t>
      </w:r>
      <w:r>
        <w:rPr>
          <w:rFonts w:hint="eastAsia" w:ascii="Times New Roman" w:hAnsi="Times New Roman" w:eastAsia="仿宋_GB2312" w:cs="Times New Roman"/>
          <w:kern w:val="2"/>
          <w:sz w:val="28"/>
          <w:szCs w:val="28"/>
          <w:lang w:val="en-US" w:eastAsia="zh-CN"/>
        </w:rPr>
        <w:t>3</w:t>
      </w:r>
      <w:r>
        <w:rPr>
          <w:rFonts w:hint="eastAsia" w:ascii="Times New Roman" w:hAnsi="Times New Roman" w:eastAsia="仿宋_GB2312" w:cs="Times New Roman"/>
          <w:kern w:val="2"/>
          <w:sz w:val="28"/>
          <w:szCs w:val="28"/>
          <w:lang w:eastAsia="zh-CN"/>
        </w:rPr>
        <w:t>分，扣分明细：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rPr>
          <w:rFonts w:hint="eastAsia" w:ascii="Times New Roman" w:hAnsi="Times New Roman" w:eastAsia="仿宋_GB2312" w:cs="Times New Roman"/>
          <w:kern w:val="2"/>
          <w:sz w:val="28"/>
          <w:szCs w:val="28"/>
          <w:lang w:eastAsia="zh-CN"/>
        </w:rPr>
      </w:pPr>
      <w:r>
        <w:rPr>
          <w:rFonts w:hint="eastAsia" w:ascii="Times New Roman" w:hAnsi="Times New Roman" w:eastAsia="仿宋_GB2312" w:cs="Times New Roman"/>
          <w:kern w:val="2"/>
          <w:sz w:val="28"/>
          <w:szCs w:val="28"/>
          <w:lang w:eastAsia="zh-CN"/>
        </w:rPr>
        <w:t>未对发放对象进行满意度调查，扣2分。</w:t>
      </w:r>
    </w:p>
    <w:bookmarkEnd w:id="6"/>
    <w:bookmarkEnd w:id="25"/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2" w:firstLineChars="200"/>
        <w:outlineLvl w:val="0"/>
        <w:rPr>
          <w:rFonts w:hint="eastAsia" w:ascii="楷体" w:hAnsi="楷体" w:eastAsia="楷体" w:cs="楷体"/>
          <w:b/>
          <w:bCs/>
          <w:kern w:val="2"/>
          <w:sz w:val="28"/>
          <w:szCs w:val="28"/>
          <w:lang w:eastAsia="zh-CN"/>
        </w:rPr>
      </w:pPr>
      <w:bookmarkStart w:id="29" w:name="_Toc6659"/>
      <w:bookmarkStart w:id="30" w:name="_Toc4138"/>
      <w:r>
        <w:rPr>
          <w:rFonts w:hint="eastAsia" w:ascii="楷体" w:hAnsi="楷体" w:eastAsia="楷体" w:cs="楷体"/>
          <w:b/>
          <w:bCs/>
          <w:kern w:val="2"/>
          <w:sz w:val="28"/>
          <w:szCs w:val="28"/>
          <w:lang w:eastAsia="zh-CN"/>
        </w:rPr>
        <w:t>四、存在的问题及原因分析</w:t>
      </w:r>
      <w:bookmarkEnd w:id="29"/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2" w:firstLineChars="200"/>
        <w:outlineLvl w:val="1"/>
        <w:rPr>
          <w:rFonts w:hint="eastAsia" w:ascii="楷体" w:hAnsi="楷体" w:eastAsia="楷体" w:cs="楷体"/>
          <w:b/>
          <w:bCs/>
          <w:kern w:val="2"/>
          <w:sz w:val="28"/>
          <w:szCs w:val="28"/>
          <w:lang w:eastAsia="zh-CN"/>
        </w:rPr>
      </w:pPr>
      <w:bookmarkStart w:id="31" w:name="_Toc17206"/>
      <w:r>
        <w:rPr>
          <w:rFonts w:hint="eastAsia" w:ascii="楷体" w:hAnsi="楷体" w:eastAsia="楷体" w:cs="楷体"/>
          <w:b/>
          <w:bCs/>
          <w:kern w:val="2"/>
          <w:sz w:val="28"/>
          <w:szCs w:val="28"/>
          <w:lang w:eastAsia="zh-CN"/>
        </w:rPr>
        <w:t>（一）存在的问题</w:t>
      </w:r>
      <w:bookmarkEnd w:id="31"/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2" w:firstLineChars="200"/>
        <w:rPr>
          <w:rFonts w:hint="eastAsia" w:ascii="楷体" w:hAnsi="楷体" w:eastAsia="楷体" w:cs="楷体"/>
          <w:b/>
          <w:bCs/>
          <w:kern w:val="2"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/>
          <w:bCs/>
          <w:kern w:val="2"/>
          <w:sz w:val="28"/>
          <w:szCs w:val="28"/>
          <w:lang w:eastAsia="zh-CN"/>
        </w:rPr>
        <w:t>1. 财务管理欠规范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rPr>
          <w:rFonts w:hint="eastAsia" w:ascii="Times New Roman" w:hAnsi="Times New Roman" w:eastAsia="仿宋_GB2312" w:cs="Times New Roman"/>
          <w:kern w:val="2"/>
          <w:sz w:val="28"/>
          <w:szCs w:val="28"/>
          <w:lang w:eastAsia="zh-CN"/>
        </w:rPr>
      </w:pPr>
      <w:r>
        <w:rPr>
          <w:rFonts w:hint="eastAsia" w:ascii="Times New Roman" w:hAnsi="Times New Roman" w:eastAsia="仿宋_GB2312" w:cs="Times New Roman"/>
          <w:kern w:val="2"/>
          <w:sz w:val="28"/>
          <w:szCs w:val="28"/>
          <w:lang w:eastAsia="zh-CN"/>
        </w:rPr>
        <w:t>（1）未建立专项资金台账。县农业农村局未建立专项资金台账，对于专项资金的使用管理缺乏专门的核算统计。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rPr>
          <w:rFonts w:hint="eastAsia" w:ascii="Times New Roman" w:hAnsi="Times New Roman" w:eastAsia="仿宋_GB2312" w:cs="Times New Roman"/>
          <w:kern w:val="2"/>
          <w:sz w:val="28"/>
          <w:szCs w:val="28"/>
          <w:lang w:eastAsia="zh-CN"/>
        </w:rPr>
      </w:pPr>
      <w:r>
        <w:rPr>
          <w:rFonts w:hint="eastAsia" w:ascii="Times New Roman" w:hAnsi="Times New Roman" w:eastAsia="仿宋_GB2312" w:cs="Times New Roman"/>
          <w:kern w:val="2"/>
          <w:sz w:val="28"/>
          <w:szCs w:val="28"/>
          <w:lang w:eastAsia="zh-CN"/>
        </w:rPr>
        <w:t>（2）种子、化肥等生产资料发放方式不透明、没有执行方案。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2" w:firstLineChars="200"/>
        <w:rPr>
          <w:rFonts w:hint="eastAsia" w:ascii="楷体" w:hAnsi="楷体" w:eastAsia="楷体" w:cs="楷体"/>
          <w:b/>
          <w:bCs/>
          <w:kern w:val="2"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/>
          <w:bCs/>
          <w:kern w:val="2"/>
          <w:sz w:val="28"/>
          <w:szCs w:val="28"/>
          <w:lang w:eastAsia="zh-CN"/>
        </w:rPr>
        <w:t>2. 管理制度欠缺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rPr>
          <w:rFonts w:hint="eastAsia" w:ascii="Times New Roman" w:hAnsi="Times New Roman" w:eastAsia="仿宋_GB2312" w:cs="Times New Roman"/>
          <w:kern w:val="2"/>
          <w:sz w:val="28"/>
          <w:szCs w:val="28"/>
          <w:lang w:eastAsia="zh-CN"/>
        </w:rPr>
      </w:pPr>
      <w:r>
        <w:rPr>
          <w:rFonts w:hint="eastAsia" w:ascii="Times New Roman" w:hAnsi="Times New Roman" w:eastAsia="仿宋_GB2312" w:cs="Times New Roman"/>
          <w:kern w:val="2"/>
          <w:sz w:val="28"/>
          <w:szCs w:val="28"/>
          <w:lang w:eastAsia="zh-CN"/>
        </w:rPr>
        <w:t>市农业农村局建立专项资金管理办法，但未制订实施方案、分配方案、考核方案发放程序不明确、不透明。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2" w:firstLineChars="200"/>
        <w:rPr>
          <w:rFonts w:hint="eastAsia" w:ascii="楷体" w:hAnsi="楷体" w:eastAsia="楷体" w:cs="楷体"/>
          <w:b/>
          <w:bCs/>
          <w:kern w:val="2"/>
          <w:sz w:val="28"/>
          <w:szCs w:val="28"/>
          <w:lang w:eastAsia="zh-CN"/>
        </w:rPr>
      </w:pPr>
      <w:r>
        <w:rPr>
          <w:rFonts w:hint="eastAsia" w:ascii="楷体" w:hAnsi="楷体" w:eastAsia="楷体" w:cs="楷体"/>
          <w:b/>
          <w:bCs/>
          <w:kern w:val="2"/>
          <w:sz w:val="28"/>
          <w:szCs w:val="28"/>
          <w:lang w:eastAsia="zh-CN"/>
        </w:rPr>
        <w:t>3. 业务管理不到位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rPr>
          <w:rFonts w:hint="eastAsia" w:ascii="Times New Roman" w:hAnsi="Times New Roman" w:eastAsia="仿宋_GB2312" w:cs="Times New Roman"/>
          <w:kern w:val="2"/>
          <w:sz w:val="28"/>
          <w:szCs w:val="28"/>
          <w:highlight w:val="yellow"/>
          <w:lang w:eastAsia="zh-CN"/>
        </w:rPr>
      </w:pPr>
      <w:r>
        <w:rPr>
          <w:rFonts w:hint="eastAsia" w:ascii="Times New Roman" w:hAnsi="Times New Roman" w:eastAsia="仿宋_GB2312" w:cs="Times New Roman"/>
          <w:kern w:val="2"/>
          <w:sz w:val="28"/>
          <w:szCs w:val="28"/>
          <w:lang w:eastAsia="zh-CN"/>
        </w:rPr>
        <w:t>一是公示程序未履行，种子、化肥等免费发费物资未落实公示程序。二是档案管理未落实，市农业农村局未将各项发放资料系统归档，无具体发放到人的领用记录。三是对种子的纯度和化肥的质量未建立科学的验收标准，也未建立考核机制，</w:t>
      </w:r>
      <w:r>
        <w:rPr>
          <w:rFonts w:hint="eastAsia" w:ascii="Times New Roman" w:hAnsi="Times New Roman" w:eastAsia="仿宋_GB2312" w:cs="Times New Roman"/>
          <w:kern w:val="2"/>
          <w:sz w:val="28"/>
          <w:szCs w:val="28"/>
          <w:highlight w:val="none"/>
          <w:lang w:eastAsia="zh-CN"/>
        </w:rPr>
        <w:t>总之不能一买了之。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2" w:firstLineChars="200"/>
        <w:rPr>
          <w:rFonts w:hint="eastAsia" w:ascii="Times New Roman" w:hAnsi="Times New Roman" w:eastAsia="仿宋_GB2312" w:cs="Times New Roman"/>
          <w:b/>
          <w:kern w:val="2"/>
          <w:sz w:val="28"/>
          <w:szCs w:val="28"/>
          <w:lang w:eastAsia="zh-CN"/>
        </w:rPr>
      </w:pPr>
      <w:r>
        <w:rPr>
          <w:rFonts w:hint="eastAsia" w:ascii="Times New Roman" w:hAnsi="Times New Roman" w:eastAsia="仿宋_GB2312" w:cs="Times New Roman"/>
          <w:b/>
          <w:kern w:val="2"/>
          <w:sz w:val="28"/>
          <w:szCs w:val="28"/>
          <w:lang w:eastAsia="zh-CN"/>
        </w:rPr>
        <w:t>4. 预算不严谨，前瞻性不够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rPr>
          <w:rFonts w:hint="eastAsia" w:ascii="Times New Roman" w:hAnsi="Times New Roman" w:eastAsia="仿宋_GB2312" w:cs="Times New Roman"/>
          <w:kern w:val="2"/>
          <w:sz w:val="28"/>
          <w:szCs w:val="28"/>
          <w:lang w:eastAsia="zh-CN"/>
        </w:rPr>
      </w:pPr>
      <w:r>
        <w:rPr>
          <w:rFonts w:hint="eastAsia" w:ascii="Times New Roman" w:hAnsi="Times New Roman" w:eastAsia="仿宋_GB2312" w:cs="Times New Roman"/>
          <w:kern w:val="2"/>
          <w:sz w:val="28"/>
          <w:szCs w:val="28"/>
          <w:lang w:eastAsia="zh-CN"/>
        </w:rPr>
        <w:t>2021年的种子、化肥采购预算700万元，时间不长又在2021年市政府就粮食生产工作进行了调度，增加了预算560万元，说明市农业农村局工作计划性不强，前瞻性不够。</w:t>
      </w:r>
    </w:p>
    <w:p>
      <w:pPr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2" w:firstLineChars="200"/>
        <w:outlineLvl w:val="1"/>
        <w:rPr>
          <w:rFonts w:hint="eastAsia" w:ascii="楷体" w:hAnsi="楷体" w:eastAsia="楷体" w:cs="楷体"/>
          <w:b/>
          <w:bCs/>
          <w:kern w:val="2"/>
          <w:sz w:val="28"/>
          <w:szCs w:val="28"/>
          <w:lang w:eastAsia="zh-CN"/>
        </w:rPr>
      </w:pPr>
      <w:bookmarkStart w:id="32" w:name="_Toc21853"/>
      <w:r>
        <w:rPr>
          <w:rFonts w:hint="eastAsia" w:ascii="楷体" w:hAnsi="楷体" w:eastAsia="楷体" w:cs="楷体"/>
          <w:b/>
          <w:bCs/>
          <w:kern w:val="2"/>
          <w:sz w:val="28"/>
          <w:szCs w:val="28"/>
          <w:lang w:eastAsia="zh-CN"/>
        </w:rPr>
        <w:t>（二）有关建议</w:t>
      </w:r>
      <w:bookmarkEnd w:id="32"/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2" w:firstLineChars="200"/>
        <w:textAlignment w:val="auto"/>
        <w:rPr>
          <w:rFonts w:hint="eastAsia" w:ascii="Times New Roman" w:hAnsi="Times New Roman" w:eastAsia="仿宋_GB2312" w:cs="Times New Roman"/>
          <w:b/>
          <w:kern w:val="2"/>
          <w:sz w:val="28"/>
          <w:szCs w:val="28"/>
          <w:lang w:eastAsia="zh-CN"/>
        </w:rPr>
      </w:pPr>
      <w:r>
        <w:rPr>
          <w:rFonts w:hint="eastAsia" w:ascii="Times New Roman" w:hAnsi="Times New Roman" w:eastAsia="仿宋_GB2312" w:cs="Times New Roman"/>
          <w:b/>
          <w:kern w:val="2"/>
          <w:sz w:val="28"/>
          <w:szCs w:val="28"/>
          <w:lang w:val="en-US" w:eastAsia="zh-CN"/>
        </w:rPr>
        <w:t>1.</w:t>
      </w:r>
      <w:r>
        <w:rPr>
          <w:rFonts w:hint="eastAsia" w:ascii="Times New Roman" w:hAnsi="Times New Roman" w:eastAsia="仿宋_GB2312" w:cs="Times New Roman"/>
          <w:b/>
          <w:kern w:val="2"/>
          <w:sz w:val="28"/>
          <w:szCs w:val="28"/>
          <w:lang w:eastAsia="zh-CN"/>
        </w:rPr>
        <w:t>完善制度建设，强化财务管理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Times New Roman" w:hAnsi="Times New Roman" w:eastAsia="仿宋_GB2312" w:cs="Times New Roman"/>
          <w:kern w:val="2"/>
          <w:sz w:val="28"/>
          <w:szCs w:val="28"/>
          <w:lang w:eastAsia="zh-CN"/>
        </w:rPr>
      </w:pPr>
      <w:r>
        <w:rPr>
          <w:rFonts w:hint="eastAsia" w:ascii="Times New Roman" w:hAnsi="Times New Roman" w:eastAsia="仿宋_GB2312" w:cs="Times New Roman"/>
          <w:kern w:val="2"/>
          <w:sz w:val="28"/>
          <w:szCs w:val="28"/>
          <w:lang w:eastAsia="zh-CN"/>
        </w:rPr>
        <w:t>（1） 粮食生产资料采购项目专项资金为常年实施的项目，市农业农村局应联合财政局制定专项资金管理办法和项目实施方案，明确资金使用范围、审批流程和监管程序；根据上级考核要求和粮食生产计划，明确各年度专项资金支出方向和实施内容，制定细化实施方案，公示标准和流程，为项目资金和业务管理提供制度保障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Times New Roman" w:hAnsi="Times New Roman" w:eastAsia="仿宋_GB2312" w:cs="Times New Roman"/>
          <w:kern w:val="2"/>
          <w:sz w:val="28"/>
          <w:szCs w:val="28"/>
          <w:lang w:eastAsia="zh-CN"/>
        </w:rPr>
      </w:pPr>
      <w:r>
        <w:rPr>
          <w:rFonts w:hint="eastAsia" w:ascii="Times New Roman" w:hAnsi="Times New Roman" w:eastAsia="仿宋_GB2312" w:cs="Times New Roman"/>
          <w:kern w:val="2"/>
          <w:sz w:val="28"/>
          <w:szCs w:val="28"/>
          <w:lang w:eastAsia="zh-CN"/>
        </w:rPr>
        <w:t>（</w:t>
      </w:r>
      <w:r>
        <w:rPr>
          <w:rFonts w:hint="eastAsia" w:ascii="Times New Roman" w:hAnsi="Times New Roman" w:eastAsia="仿宋_GB2312" w:cs="Times New Roman"/>
          <w:kern w:val="2"/>
          <w:sz w:val="28"/>
          <w:szCs w:val="28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  <w:kern w:val="2"/>
          <w:sz w:val="28"/>
          <w:szCs w:val="28"/>
          <w:lang w:eastAsia="zh-CN"/>
        </w:rPr>
        <w:t>） 建立专项资金台账，及时、准确、完整的反映专项资金收支情况。确保种子、化肥等生产物资的的确确发放到种粮户手中。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2" w:firstLineChars="200"/>
        <w:textAlignment w:val="auto"/>
        <w:rPr>
          <w:rFonts w:hint="eastAsia" w:ascii="Times New Roman" w:hAnsi="Times New Roman" w:eastAsia="仿宋_GB2312" w:cs="Times New Roman"/>
          <w:b/>
          <w:kern w:val="2"/>
          <w:sz w:val="28"/>
          <w:szCs w:val="28"/>
          <w:lang w:eastAsia="zh-CN"/>
        </w:rPr>
      </w:pPr>
      <w:r>
        <w:rPr>
          <w:rFonts w:hint="eastAsia" w:ascii="Times New Roman" w:hAnsi="Times New Roman" w:eastAsia="仿宋_GB2312" w:cs="Times New Roman"/>
          <w:b/>
          <w:kern w:val="2"/>
          <w:sz w:val="28"/>
          <w:szCs w:val="28"/>
          <w:lang w:val="en-US" w:eastAsia="zh-CN"/>
        </w:rPr>
        <w:t>2.</w:t>
      </w:r>
      <w:r>
        <w:rPr>
          <w:rFonts w:hint="eastAsia" w:ascii="Times New Roman" w:hAnsi="Times New Roman" w:eastAsia="仿宋_GB2312" w:cs="Times New Roman"/>
          <w:b/>
          <w:kern w:val="2"/>
          <w:sz w:val="28"/>
          <w:szCs w:val="28"/>
          <w:lang w:eastAsia="zh-CN"/>
        </w:rPr>
        <w:t>规范业务管理，强化监管程序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560" w:firstLineChars="200"/>
        <w:textAlignment w:val="auto"/>
        <w:rPr>
          <w:rFonts w:hint="eastAsia" w:ascii="Times New Roman" w:hAnsi="Times New Roman" w:eastAsia="仿宋_GB2312" w:cs="Times New Roman"/>
          <w:kern w:val="2"/>
          <w:sz w:val="28"/>
          <w:szCs w:val="28"/>
          <w:lang w:eastAsia="zh-CN"/>
        </w:rPr>
      </w:pPr>
      <w:r>
        <w:rPr>
          <w:rFonts w:hint="eastAsia" w:ascii="Times New Roman" w:hAnsi="Times New Roman" w:eastAsia="仿宋_GB2312" w:cs="Times New Roman"/>
          <w:kern w:val="2"/>
          <w:sz w:val="28"/>
          <w:szCs w:val="28"/>
          <w:lang w:eastAsia="zh-CN"/>
        </w:rPr>
        <w:t> 实施方案一经审定应严格执行，保证严肃性。生产资料的发放应严格落实公示程序，在相关村（社）、乡镇（街道）和政府网站公示补助信息，接受公众监督，保证过程公开透明。严格落实查验程序，形成查验记录，对种业纯度的查验结果应由种粮对象和查验人共同签字认可。建立信用管理机制，对于政府采购供应商产品的质量未达标的情况应纳入黑名单，取消其供应商的资格。完善档案管理，各项采购、发放、验收、考评资料应规范完整，准确反映补助发放全过程，系统整理完整归档，妥善保存。</w:t>
      </w:r>
    </w:p>
    <w:bookmarkEnd w:id="30"/>
    <w:p>
      <w:pPr>
        <w:shd w:val="clear" w:color="auto" w:fill="FFFFFF"/>
        <w:spacing w:line="520" w:lineRule="exact"/>
        <w:rPr>
          <w:rFonts w:hint="eastAsia" w:ascii="Times New Roman" w:hAnsi="Times New Roman" w:eastAsia="仿宋_GB2312" w:cs="Times New Roman"/>
          <w:kern w:val="2"/>
          <w:sz w:val="28"/>
          <w:szCs w:val="28"/>
          <w:lang w:eastAsia="zh-CN"/>
        </w:rPr>
      </w:pPr>
      <w:bookmarkStart w:id="33" w:name="_Toc4198"/>
    </w:p>
    <w:bookmarkEnd w:id="33"/>
    <w:p>
      <w:pPr>
        <w:shd w:val="clear" w:color="auto" w:fill="FFFFFF"/>
        <w:spacing w:line="520" w:lineRule="exact"/>
        <w:outlineLvl w:val="0"/>
        <w:rPr>
          <w:rFonts w:ascii="Times New Roman" w:hAnsi="Times New Roman" w:eastAsia="仿宋_GB2312" w:cs="Times New Roman"/>
          <w:kern w:val="2"/>
          <w:sz w:val="28"/>
          <w:szCs w:val="28"/>
          <w:lang w:eastAsia="zh-CN"/>
        </w:rPr>
      </w:pPr>
      <w:bookmarkStart w:id="34" w:name="_Toc12378"/>
      <w:bookmarkStart w:id="35" w:name="_Toc20758"/>
      <w:r>
        <w:rPr>
          <w:rFonts w:hint="eastAsia" w:ascii="Times New Roman" w:hAnsi="Times New Roman" w:eastAsia="仿宋_GB2312" w:cs="Times New Roman"/>
          <w:kern w:val="2"/>
          <w:sz w:val="28"/>
          <w:szCs w:val="28"/>
          <w:lang w:eastAsia="zh-CN"/>
        </w:rPr>
        <w:t>附件</w:t>
      </w:r>
      <w:r>
        <w:rPr>
          <w:rFonts w:hint="eastAsia" w:ascii="Times New Roman" w:hAnsi="Times New Roman" w:eastAsia="仿宋_GB2312" w:cs="Times New Roman"/>
          <w:kern w:val="2"/>
          <w:sz w:val="28"/>
          <w:szCs w:val="28"/>
          <w:lang w:val="en-US" w:eastAsia="zh-CN"/>
        </w:rPr>
        <w:t>1</w:t>
      </w:r>
      <w:r>
        <w:rPr>
          <w:rFonts w:hint="eastAsia" w:ascii="Times New Roman" w:hAnsi="Times New Roman" w:eastAsia="仿宋_GB2312" w:cs="Times New Roman"/>
          <w:kern w:val="2"/>
          <w:sz w:val="28"/>
          <w:szCs w:val="28"/>
          <w:lang w:eastAsia="zh-CN"/>
        </w:rPr>
        <w:t>：邵东市农业农村局2021年种子采购项目绩效评价指标评分表</w:t>
      </w:r>
      <w:bookmarkEnd w:id="34"/>
      <w:bookmarkEnd w:id="35"/>
    </w:p>
    <w:p>
      <w:pPr>
        <w:spacing w:line="520" w:lineRule="exact"/>
        <w:ind w:firstLine="7200" w:firstLineChars="2400"/>
        <w:jc w:val="both"/>
        <w:rPr>
          <w:rFonts w:hint="eastAsia" w:ascii="仿宋_GB2312" w:eastAsia="仿宋_GB2312"/>
          <w:sz w:val="30"/>
          <w:szCs w:val="30"/>
        </w:rPr>
      </w:pPr>
    </w:p>
    <w:p>
      <w:pPr>
        <w:spacing w:line="520" w:lineRule="exact"/>
        <w:ind w:firstLine="7200" w:firstLineChars="2400"/>
        <w:jc w:val="both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湖南</w:t>
      </w:r>
      <w:r>
        <w:rPr>
          <w:rFonts w:hint="eastAsia" w:ascii="仿宋_GB2312" w:eastAsia="仿宋_GB2312"/>
          <w:sz w:val="30"/>
          <w:szCs w:val="30"/>
          <w:lang w:eastAsia="zh-CN"/>
        </w:rPr>
        <w:t>国升联合</w:t>
      </w:r>
      <w:r>
        <w:rPr>
          <w:rFonts w:hint="eastAsia" w:ascii="仿宋_GB2312" w:eastAsia="仿宋_GB2312"/>
          <w:sz w:val="30"/>
          <w:szCs w:val="30"/>
        </w:rPr>
        <w:t>会计师事务所</w:t>
      </w:r>
      <w:r>
        <w:rPr>
          <w:rFonts w:hint="eastAsia" w:ascii="仿宋_GB2312" w:eastAsia="仿宋_GB2312"/>
          <w:sz w:val="30"/>
          <w:szCs w:val="30"/>
          <w:lang w:eastAsia="zh-CN"/>
        </w:rPr>
        <w:t>（普通合伙）</w:t>
      </w:r>
      <w:r>
        <w:rPr>
          <w:rFonts w:hint="eastAsia" w:ascii="仿宋_GB2312" w:eastAsia="仿宋_GB2312"/>
          <w:sz w:val="30"/>
          <w:szCs w:val="30"/>
        </w:rPr>
        <w:t xml:space="preserve"> </w:t>
      </w:r>
    </w:p>
    <w:p>
      <w:pPr>
        <w:spacing w:line="520" w:lineRule="exact"/>
        <w:ind w:firstLine="600" w:firstLineChars="200"/>
        <w:jc w:val="both"/>
        <w:rPr>
          <w:rFonts w:ascii="仿宋_GB2312" w:eastAsia="仿宋_GB2312"/>
          <w:sz w:val="30"/>
          <w:szCs w:val="30"/>
        </w:rPr>
      </w:pPr>
    </w:p>
    <w:p>
      <w:pPr>
        <w:spacing w:line="520" w:lineRule="exact"/>
        <w:ind w:firstLine="9900" w:firstLineChars="3300"/>
        <w:jc w:val="both"/>
        <w:rPr>
          <w:rFonts w:hint="eastAsia" w:ascii="仿宋_GB2312" w:eastAsia="仿宋_GB2312"/>
          <w:sz w:val="30"/>
          <w:szCs w:val="30"/>
          <w:lang w:eastAsia="zh-CN"/>
        </w:rPr>
      </w:pPr>
      <w:r>
        <w:rPr>
          <w:rFonts w:hint="eastAsia" w:ascii="仿宋_GB2312" w:eastAsia="宋体"/>
          <w:sz w:val="30"/>
          <w:szCs w:val="30"/>
          <w:lang w:eastAsia="zh-CN"/>
        </w:rPr>
        <w:t xml:space="preserve"> </w:t>
      </w:r>
      <w:r>
        <w:rPr>
          <w:rFonts w:ascii="仿宋_GB2312" w:eastAsia="仿宋_GB2312"/>
          <w:sz w:val="30"/>
          <w:szCs w:val="30"/>
          <w:lang w:eastAsia="zh-CN"/>
        </w:rPr>
        <w:t>2022</w:t>
      </w:r>
      <w:r>
        <w:rPr>
          <w:rFonts w:hint="eastAsia" w:ascii="仿宋_GB2312" w:eastAsia="仿宋_GB2312"/>
          <w:sz w:val="30"/>
          <w:szCs w:val="30"/>
          <w:lang w:eastAsia="zh-CN"/>
        </w:rPr>
        <w:t>年10月</w:t>
      </w:r>
      <w:r>
        <w:rPr>
          <w:rFonts w:ascii="仿宋_GB2312" w:eastAsia="仿宋_GB2312"/>
          <w:sz w:val="30"/>
          <w:szCs w:val="30"/>
          <w:lang w:eastAsia="zh-CN"/>
        </w:rPr>
        <w:t>1</w:t>
      </w:r>
      <w:r>
        <w:rPr>
          <w:rFonts w:hint="eastAsia" w:ascii="仿宋_GB2312" w:eastAsia="仿宋_GB2312"/>
          <w:sz w:val="30"/>
          <w:szCs w:val="30"/>
          <w:lang w:eastAsia="zh-CN"/>
        </w:rPr>
        <w:t>4日</w:t>
      </w:r>
    </w:p>
    <w:p>
      <w:pPr>
        <w:rPr>
          <w:rFonts w:hint="eastAsia" w:ascii="仿宋_GB2312" w:eastAsia="仿宋_GB2312"/>
          <w:sz w:val="30"/>
          <w:szCs w:val="30"/>
          <w:lang w:eastAsia="zh-CN"/>
        </w:rPr>
      </w:pPr>
    </w:p>
    <w:sectPr>
      <w:headerReference r:id="rId4" w:type="default"/>
      <w:pgSz w:w="15840" w:h="12240" w:orient="landscape"/>
      <w:pgMar w:top="1587" w:right="1474" w:bottom="1587" w:left="1474" w:header="720" w:footer="720" w:gutter="0"/>
      <w:pgNumType w:fmt="decimal"/>
      <w:cols w:space="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  <w:embedRegular r:id="rId1" w:fontKey="{252D4F2E-3ACA-4365-B04B-34DA9939A990}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5B4178D6-B6A8-4EB0-AC49-BD696FDBA9E5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MS Gothic">
    <w:panose1 w:val="020B0609070205080204"/>
    <w:charset w:val="80"/>
    <w:family w:val="auto"/>
    <w:pitch w:val="default"/>
    <w:sig w:usb0="E00002FF" w:usb1="6AC7FDFB" w:usb2="00000012" w:usb3="00000000" w:csb0="4002009F" w:csb1="DFD70000"/>
  </w:font>
  <w:font w:name="Courier">
    <w:altName w:val="Courier New"/>
    <w:panose1 w:val="02070409020205020404"/>
    <w:charset w:val="00"/>
    <w:family w:val="modern"/>
    <w:pitch w:val="default"/>
    <w:sig w:usb0="00000000" w:usb1="00000000" w:usb2="00000000" w:usb3="00000000" w:csb0="00000001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3" w:fontKey="{713D5E77-5110-450B-879D-61D9D9E688AA}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4" w:fontKey="{4AF12C8B-B586-4B20-B754-2A905FF24EA3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5" w:fontKey="{C3D71286-B3CB-4BBE-A76D-B64C4586FF99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6" w:fontKey="{BC7813DB-DBA1-483C-98CA-AAB4343F5A2E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7" w:fontKey="{0A26062E-9BDD-41D2-B0A3-1B3196768D6C}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6"/>
    </w:pPr>
  </w:p>
  <w:p>
    <w:pPr>
      <w:pStyle w:val="26"/>
    </w:pPr>
    <w:r>
      <w:rPr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69F52D3"/>
    <w:multiLevelType w:val="singleLevel"/>
    <w:tmpl w:val="E69F52D3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F540CD6C"/>
    <w:multiLevelType w:val="singleLevel"/>
    <w:tmpl w:val="F540CD6C"/>
    <w:lvl w:ilvl="0" w:tentative="0">
      <w:start w:val="1"/>
      <w:numFmt w:val="decimal"/>
      <w:suff w:val="nothing"/>
      <w:lvlText w:val="%1．"/>
      <w:lvlJc w:val="left"/>
      <w:pPr>
        <w:ind w:left="20" w:firstLine="400"/>
      </w:pPr>
      <w:rPr>
        <w:rFonts w:hint="default"/>
      </w:rPr>
    </w:lvl>
  </w:abstractNum>
  <w:abstractNum w:abstractNumId="2">
    <w:nsid w:val="FFFFFF7E"/>
    <w:multiLevelType w:val="singleLevel"/>
    <w:tmpl w:val="FFFFFF7E"/>
    <w:lvl w:ilvl="0" w:tentative="0">
      <w:start w:val="1"/>
      <w:numFmt w:val="decimal"/>
      <w:pStyle w:val="22"/>
      <w:lvlText w:val="%1."/>
      <w:lvlJc w:val="left"/>
      <w:pPr>
        <w:tabs>
          <w:tab w:val="left" w:pos="1080"/>
        </w:tabs>
        <w:ind w:left="1080" w:hanging="360"/>
      </w:pPr>
    </w:lvl>
  </w:abstractNum>
  <w:abstractNum w:abstractNumId="3">
    <w:nsid w:val="FFFFFF7F"/>
    <w:multiLevelType w:val="singleLevel"/>
    <w:tmpl w:val="FFFFFF7F"/>
    <w:lvl w:ilvl="0" w:tentative="0">
      <w:start w:val="1"/>
      <w:numFmt w:val="decimal"/>
      <w:pStyle w:val="14"/>
      <w:lvlText w:val="%1."/>
      <w:lvlJc w:val="left"/>
      <w:pPr>
        <w:tabs>
          <w:tab w:val="left" w:pos="720"/>
        </w:tabs>
        <w:ind w:left="720" w:hanging="360"/>
      </w:pPr>
    </w:lvl>
  </w:abstractNum>
  <w:abstractNum w:abstractNumId="4">
    <w:nsid w:val="FFFFFF82"/>
    <w:multiLevelType w:val="singleLevel"/>
    <w:tmpl w:val="FFFFFF82"/>
    <w:lvl w:ilvl="0" w:tentative="0">
      <w:start w:val="1"/>
      <w:numFmt w:val="bullet"/>
      <w:pStyle w:val="20"/>
      <w:lvlText w:val=""/>
      <w:lvlJc w:val="left"/>
      <w:pPr>
        <w:tabs>
          <w:tab w:val="left" w:pos="1080"/>
        </w:tabs>
        <w:ind w:left="1080" w:hanging="360"/>
      </w:pPr>
      <w:rPr>
        <w:rFonts w:hint="default" w:ascii="Symbol" w:hAnsi="Symbol"/>
      </w:rPr>
    </w:lvl>
  </w:abstractNum>
  <w:abstractNum w:abstractNumId="5">
    <w:nsid w:val="FFFFFF83"/>
    <w:multiLevelType w:val="singleLevel"/>
    <w:tmpl w:val="FFFFFF83"/>
    <w:lvl w:ilvl="0" w:tentative="0">
      <w:start w:val="1"/>
      <w:numFmt w:val="bullet"/>
      <w:pStyle w:val="25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</w:rPr>
    </w:lvl>
  </w:abstractNum>
  <w:abstractNum w:abstractNumId="6">
    <w:nsid w:val="FFFFFF88"/>
    <w:multiLevelType w:val="singleLevel"/>
    <w:tmpl w:val="FFFFFF88"/>
    <w:lvl w:ilvl="0" w:tentative="0">
      <w:start w:val="1"/>
      <w:numFmt w:val="decimal"/>
      <w:pStyle w:val="15"/>
      <w:lvlText w:val="%1."/>
      <w:lvlJc w:val="left"/>
      <w:pPr>
        <w:tabs>
          <w:tab w:val="left" w:pos="360"/>
        </w:tabs>
        <w:ind w:left="360" w:hanging="360"/>
      </w:pPr>
    </w:lvl>
  </w:abstractNum>
  <w:abstractNum w:abstractNumId="7">
    <w:nsid w:val="FFFFFF89"/>
    <w:multiLevelType w:val="singleLevel"/>
    <w:tmpl w:val="FFFFFF89"/>
    <w:lvl w:ilvl="0" w:tentative="0">
      <w:start w:val="1"/>
      <w:numFmt w:val="bullet"/>
      <w:pStyle w:val="17"/>
      <w:lvlText w:val=""/>
      <w:lvlJc w:val="left"/>
      <w:pPr>
        <w:tabs>
          <w:tab w:val="left" w:pos="360"/>
        </w:tabs>
        <w:ind w:left="360" w:hanging="360"/>
      </w:pPr>
      <w:rPr>
        <w:rFonts w:hint="default" w:ascii="Symbol" w:hAnsi="Symbol"/>
      </w:rPr>
    </w:lvl>
  </w:abstractNum>
  <w:abstractNum w:abstractNumId="8">
    <w:nsid w:val="2479A659"/>
    <w:multiLevelType w:val="singleLevel"/>
    <w:tmpl w:val="2479A659"/>
    <w:lvl w:ilvl="0" w:tentative="0">
      <w:start w:val="1"/>
      <w:numFmt w:val="chineseCounting"/>
      <w:suff w:val="nothing"/>
      <w:lvlText w:val="%1、"/>
      <w:lvlJc w:val="left"/>
      <w:pPr>
        <w:ind w:left="1040" w:firstLine="0"/>
      </w:pPr>
      <w:rPr>
        <w:rFonts w:hint="eastAsia"/>
      </w:rPr>
    </w:lvl>
  </w:abstractNum>
  <w:abstractNum w:abstractNumId="9">
    <w:nsid w:val="31FC3E01"/>
    <w:multiLevelType w:val="singleLevel"/>
    <w:tmpl w:val="31FC3E01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0">
    <w:nsid w:val="75BFA3F1"/>
    <w:multiLevelType w:val="singleLevel"/>
    <w:tmpl w:val="75BFA3F1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4"/>
  </w:num>
  <w:num w:numId="5">
    <w:abstractNumId w:val="2"/>
  </w:num>
  <w:num w:numId="6">
    <w:abstractNumId w:val="5"/>
  </w:num>
  <w:num w:numId="7">
    <w:abstractNumId w:val="8"/>
  </w:num>
  <w:num w:numId="8">
    <w:abstractNumId w:val="1"/>
  </w:num>
  <w:num w:numId="9">
    <w:abstractNumId w:val="9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saveSubsetFonts/>
  <w:bordersDoNotSurroundHeader w:val="1"/>
  <w:bordersDoNotSurroundFooter w:val="1"/>
  <w:documentProtection w:enforcement="0"/>
  <w:defaultTabStop w:val="110"/>
  <w:noPunctuationKerning w:val="1"/>
  <w:characterSpacingControl w:val="doNotCompress"/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Y1ZDZkMzIzYjczMTc0MmQyMDg2ZTMwOWNhY2U1ZDYifQ=="/>
  </w:docVars>
  <w:rsids>
    <w:rsidRoot w:val="002730F5"/>
    <w:rsid w:val="000120C8"/>
    <w:rsid w:val="00012311"/>
    <w:rsid w:val="00051B18"/>
    <w:rsid w:val="000A2B31"/>
    <w:rsid w:val="000A2BB6"/>
    <w:rsid w:val="00106268"/>
    <w:rsid w:val="001165DA"/>
    <w:rsid w:val="00144231"/>
    <w:rsid w:val="001C12C9"/>
    <w:rsid w:val="00220AA0"/>
    <w:rsid w:val="00270F77"/>
    <w:rsid w:val="002730F5"/>
    <w:rsid w:val="002F08A7"/>
    <w:rsid w:val="002F6F64"/>
    <w:rsid w:val="004200F6"/>
    <w:rsid w:val="00445D4C"/>
    <w:rsid w:val="004A72BB"/>
    <w:rsid w:val="004B4941"/>
    <w:rsid w:val="005104F8"/>
    <w:rsid w:val="00546B95"/>
    <w:rsid w:val="005820AE"/>
    <w:rsid w:val="00595AD7"/>
    <w:rsid w:val="006523E3"/>
    <w:rsid w:val="00707947"/>
    <w:rsid w:val="00835E4B"/>
    <w:rsid w:val="00876B84"/>
    <w:rsid w:val="00886E1B"/>
    <w:rsid w:val="00951EB4"/>
    <w:rsid w:val="00966DD0"/>
    <w:rsid w:val="009D19B6"/>
    <w:rsid w:val="009F2E6D"/>
    <w:rsid w:val="00A860E0"/>
    <w:rsid w:val="00B01A7D"/>
    <w:rsid w:val="00C31E6A"/>
    <w:rsid w:val="00C70192"/>
    <w:rsid w:val="00CD6BD1"/>
    <w:rsid w:val="00D7494D"/>
    <w:rsid w:val="00D87CC3"/>
    <w:rsid w:val="00DC6DB2"/>
    <w:rsid w:val="00F1745C"/>
    <w:rsid w:val="01075571"/>
    <w:rsid w:val="01141D9C"/>
    <w:rsid w:val="012A0989"/>
    <w:rsid w:val="012B64AF"/>
    <w:rsid w:val="012E439E"/>
    <w:rsid w:val="0136732D"/>
    <w:rsid w:val="0149122C"/>
    <w:rsid w:val="01514167"/>
    <w:rsid w:val="017E0CD4"/>
    <w:rsid w:val="01AC0464"/>
    <w:rsid w:val="01B97F5E"/>
    <w:rsid w:val="01BB5F1B"/>
    <w:rsid w:val="01E35F1F"/>
    <w:rsid w:val="022A6C7F"/>
    <w:rsid w:val="023B0973"/>
    <w:rsid w:val="024718DB"/>
    <w:rsid w:val="025F4662"/>
    <w:rsid w:val="026756F6"/>
    <w:rsid w:val="029318DB"/>
    <w:rsid w:val="03280EF8"/>
    <w:rsid w:val="033B50CF"/>
    <w:rsid w:val="035E0DBD"/>
    <w:rsid w:val="037360F1"/>
    <w:rsid w:val="03A8028B"/>
    <w:rsid w:val="03F51233"/>
    <w:rsid w:val="04001DE3"/>
    <w:rsid w:val="042913CB"/>
    <w:rsid w:val="046C1FD7"/>
    <w:rsid w:val="048711CB"/>
    <w:rsid w:val="04932CE9"/>
    <w:rsid w:val="04B82E0F"/>
    <w:rsid w:val="04DC7CE5"/>
    <w:rsid w:val="052B1173"/>
    <w:rsid w:val="0545320E"/>
    <w:rsid w:val="06197A15"/>
    <w:rsid w:val="062968B0"/>
    <w:rsid w:val="06471FDD"/>
    <w:rsid w:val="067B3A34"/>
    <w:rsid w:val="067D736C"/>
    <w:rsid w:val="06940ECF"/>
    <w:rsid w:val="06980863"/>
    <w:rsid w:val="06B158FF"/>
    <w:rsid w:val="074A2961"/>
    <w:rsid w:val="074E5313"/>
    <w:rsid w:val="079B2121"/>
    <w:rsid w:val="079E5C2C"/>
    <w:rsid w:val="07CD206E"/>
    <w:rsid w:val="07D31880"/>
    <w:rsid w:val="081479F8"/>
    <w:rsid w:val="081D7FA8"/>
    <w:rsid w:val="0832531B"/>
    <w:rsid w:val="08365E65"/>
    <w:rsid w:val="087C316B"/>
    <w:rsid w:val="089070F0"/>
    <w:rsid w:val="08BD20E2"/>
    <w:rsid w:val="08C200BB"/>
    <w:rsid w:val="08D5350B"/>
    <w:rsid w:val="09114527"/>
    <w:rsid w:val="092959CA"/>
    <w:rsid w:val="092C6E46"/>
    <w:rsid w:val="09336848"/>
    <w:rsid w:val="093B7C41"/>
    <w:rsid w:val="0980662B"/>
    <w:rsid w:val="09AA6564"/>
    <w:rsid w:val="09AF5ECF"/>
    <w:rsid w:val="09D26B6B"/>
    <w:rsid w:val="09E33DCA"/>
    <w:rsid w:val="09F22B9F"/>
    <w:rsid w:val="0A3F5676"/>
    <w:rsid w:val="0A5F5C88"/>
    <w:rsid w:val="0A6F12FB"/>
    <w:rsid w:val="0A747118"/>
    <w:rsid w:val="0A7E0B08"/>
    <w:rsid w:val="0A9615EB"/>
    <w:rsid w:val="0AB87005"/>
    <w:rsid w:val="0ABA0B82"/>
    <w:rsid w:val="0AC21C32"/>
    <w:rsid w:val="0ACD305B"/>
    <w:rsid w:val="0B026EC9"/>
    <w:rsid w:val="0B04224A"/>
    <w:rsid w:val="0B220A54"/>
    <w:rsid w:val="0B376639"/>
    <w:rsid w:val="0B3E200E"/>
    <w:rsid w:val="0B6220B0"/>
    <w:rsid w:val="0BAB0918"/>
    <w:rsid w:val="0BF00A21"/>
    <w:rsid w:val="0C3628D7"/>
    <w:rsid w:val="0C3B4EC0"/>
    <w:rsid w:val="0C7D22B4"/>
    <w:rsid w:val="0C807FF6"/>
    <w:rsid w:val="0C8E44C1"/>
    <w:rsid w:val="0CF700CB"/>
    <w:rsid w:val="0CFB3363"/>
    <w:rsid w:val="0D5254FD"/>
    <w:rsid w:val="0D735465"/>
    <w:rsid w:val="0DE833B5"/>
    <w:rsid w:val="0E0D7668"/>
    <w:rsid w:val="0E1E7AC7"/>
    <w:rsid w:val="0E7477B1"/>
    <w:rsid w:val="0E8D6F12"/>
    <w:rsid w:val="0E9B17BB"/>
    <w:rsid w:val="0E9F42B0"/>
    <w:rsid w:val="0EF50A8B"/>
    <w:rsid w:val="0F230541"/>
    <w:rsid w:val="0F512544"/>
    <w:rsid w:val="0F73799F"/>
    <w:rsid w:val="0F8676D2"/>
    <w:rsid w:val="0FA66862"/>
    <w:rsid w:val="0FBF4992"/>
    <w:rsid w:val="0FD07903"/>
    <w:rsid w:val="0FD91EF8"/>
    <w:rsid w:val="0FEC27A7"/>
    <w:rsid w:val="0FF87EA4"/>
    <w:rsid w:val="100827DD"/>
    <w:rsid w:val="102F3975"/>
    <w:rsid w:val="104B1537"/>
    <w:rsid w:val="10825804"/>
    <w:rsid w:val="10A36062"/>
    <w:rsid w:val="10BD7F7B"/>
    <w:rsid w:val="10C84E80"/>
    <w:rsid w:val="10E86517"/>
    <w:rsid w:val="10F42D61"/>
    <w:rsid w:val="112847B9"/>
    <w:rsid w:val="113B15FC"/>
    <w:rsid w:val="118A1C40"/>
    <w:rsid w:val="11B61DC5"/>
    <w:rsid w:val="11F35FF1"/>
    <w:rsid w:val="11F73BD0"/>
    <w:rsid w:val="12622D86"/>
    <w:rsid w:val="127B46F1"/>
    <w:rsid w:val="12E0359D"/>
    <w:rsid w:val="12EA1788"/>
    <w:rsid w:val="130F79DE"/>
    <w:rsid w:val="13135E04"/>
    <w:rsid w:val="132D6DC7"/>
    <w:rsid w:val="133C4A16"/>
    <w:rsid w:val="134358DA"/>
    <w:rsid w:val="13472D6F"/>
    <w:rsid w:val="13635202"/>
    <w:rsid w:val="13646750"/>
    <w:rsid w:val="13877224"/>
    <w:rsid w:val="13912BD6"/>
    <w:rsid w:val="139D148E"/>
    <w:rsid w:val="139D18A3"/>
    <w:rsid w:val="13A862B5"/>
    <w:rsid w:val="13B27AB8"/>
    <w:rsid w:val="13BB7B66"/>
    <w:rsid w:val="13C15995"/>
    <w:rsid w:val="13CE7899"/>
    <w:rsid w:val="13D32029"/>
    <w:rsid w:val="13D824C6"/>
    <w:rsid w:val="13DA6A23"/>
    <w:rsid w:val="13E946D3"/>
    <w:rsid w:val="13F310AE"/>
    <w:rsid w:val="1493721C"/>
    <w:rsid w:val="14CB7C9E"/>
    <w:rsid w:val="14DC5FE6"/>
    <w:rsid w:val="14DF1632"/>
    <w:rsid w:val="14E530ED"/>
    <w:rsid w:val="152319A9"/>
    <w:rsid w:val="154D5664"/>
    <w:rsid w:val="157306F8"/>
    <w:rsid w:val="15CC605B"/>
    <w:rsid w:val="15D849FF"/>
    <w:rsid w:val="15E5122D"/>
    <w:rsid w:val="15E52C78"/>
    <w:rsid w:val="1652235A"/>
    <w:rsid w:val="165F0C7D"/>
    <w:rsid w:val="166804F5"/>
    <w:rsid w:val="166C5148"/>
    <w:rsid w:val="167F3407"/>
    <w:rsid w:val="16B15AA0"/>
    <w:rsid w:val="16EB0762"/>
    <w:rsid w:val="175471F0"/>
    <w:rsid w:val="17730E9B"/>
    <w:rsid w:val="177B7D38"/>
    <w:rsid w:val="17AB6473"/>
    <w:rsid w:val="17B2302E"/>
    <w:rsid w:val="17BC1976"/>
    <w:rsid w:val="17F35B20"/>
    <w:rsid w:val="18096A17"/>
    <w:rsid w:val="180D1619"/>
    <w:rsid w:val="181635BD"/>
    <w:rsid w:val="181A12FF"/>
    <w:rsid w:val="181D2B9D"/>
    <w:rsid w:val="182A0E16"/>
    <w:rsid w:val="184E2D57"/>
    <w:rsid w:val="18647688"/>
    <w:rsid w:val="188121DA"/>
    <w:rsid w:val="188744BB"/>
    <w:rsid w:val="18AD1606"/>
    <w:rsid w:val="18B51028"/>
    <w:rsid w:val="18EB1D55"/>
    <w:rsid w:val="18F63219"/>
    <w:rsid w:val="191F46F3"/>
    <w:rsid w:val="19287A4C"/>
    <w:rsid w:val="19510D51"/>
    <w:rsid w:val="19744A3F"/>
    <w:rsid w:val="1994097C"/>
    <w:rsid w:val="19EA4ACE"/>
    <w:rsid w:val="1A1B0911"/>
    <w:rsid w:val="1A226249"/>
    <w:rsid w:val="1A4E612D"/>
    <w:rsid w:val="1AA01631"/>
    <w:rsid w:val="1AA44EB0"/>
    <w:rsid w:val="1AAA22B0"/>
    <w:rsid w:val="1ABF1CEA"/>
    <w:rsid w:val="1ACD1308"/>
    <w:rsid w:val="1AD76BA1"/>
    <w:rsid w:val="1B395F80"/>
    <w:rsid w:val="1B46240B"/>
    <w:rsid w:val="1B615656"/>
    <w:rsid w:val="1C1D1097"/>
    <w:rsid w:val="1C297D63"/>
    <w:rsid w:val="1C872CDB"/>
    <w:rsid w:val="1C8F3562"/>
    <w:rsid w:val="1CA84170"/>
    <w:rsid w:val="1CE52743"/>
    <w:rsid w:val="1CFC32B7"/>
    <w:rsid w:val="1D100184"/>
    <w:rsid w:val="1D216B94"/>
    <w:rsid w:val="1D76522A"/>
    <w:rsid w:val="1DD54077"/>
    <w:rsid w:val="1E2B6CB1"/>
    <w:rsid w:val="1E3D18A3"/>
    <w:rsid w:val="1E6F65C7"/>
    <w:rsid w:val="1EE00481"/>
    <w:rsid w:val="1F312AAB"/>
    <w:rsid w:val="1F5A0233"/>
    <w:rsid w:val="1F685ED0"/>
    <w:rsid w:val="1F843502"/>
    <w:rsid w:val="1FA37E2C"/>
    <w:rsid w:val="1FBD0D8B"/>
    <w:rsid w:val="20006535"/>
    <w:rsid w:val="20120B0E"/>
    <w:rsid w:val="20176D7D"/>
    <w:rsid w:val="202C6073"/>
    <w:rsid w:val="20770D67"/>
    <w:rsid w:val="20ED07AA"/>
    <w:rsid w:val="21172E10"/>
    <w:rsid w:val="2123573A"/>
    <w:rsid w:val="215F46CE"/>
    <w:rsid w:val="217575A6"/>
    <w:rsid w:val="2186620B"/>
    <w:rsid w:val="21867A05"/>
    <w:rsid w:val="21955205"/>
    <w:rsid w:val="219860B0"/>
    <w:rsid w:val="21A93097"/>
    <w:rsid w:val="21D66B2E"/>
    <w:rsid w:val="21F7620D"/>
    <w:rsid w:val="227B0BEC"/>
    <w:rsid w:val="22895C0E"/>
    <w:rsid w:val="22A35183"/>
    <w:rsid w:val="22D12F02"/>
    <w:rsid w:val="230961F8"/>
    <w:rsid w:val="230D182D"/>
    <w:rsid w:val="234B6811"/>
    <w:rsid w:val="237251FC"/>
    <w:rsid w:val="23814109"/>
    <w:rsid w:val="23A10B26"/>
    <w:rsid w:val="23B048C6"/>
    <w:rsid w:val="23CB16FF"/>
    <w:rsid w:val="24577437"/>
    <w:rsid w:val="246D6757"/>
    <w:rsid w:val="248F6BD1"/>
    <w:rsid w:val="24FF5971"/>
    <w:rsid w:val="250D579E"/>
    <w:rsid w:val="252A68FA"/>
    <w:rsid w:val="25307966"/>
    <w:rsid w:val="2536704D"/>
    <w:rsid w:val="254B6F9C"/>
    <w:rsid w:val="25550AC2"/>
    <w:rsid w:val="255D0A7D"/>
    <w:rsid w:val="257218BD"/>
    <w:rsid w:val="25861939"/>
    <w:rsid w:val="259A3A7F"/>
    <w:rsid w:val="25CD5C03"/>
    <w:rsid w:val="25F14939"/>
    <w:rsid w:val="26136357"/>
    <w:rsid w:val="26253753"/>
    <w:rsid w:val="26392DD8"/>
    <w:rsid w:val="26C633E4"/>
    <w:rsid w:val="26D44D6F"/>
    <w:rsid w:val="26E16C63"/>
    <w:rsid w:val="26EF1BA9"/>
    <w:rsid w:val="26FA204C"/>
    <w:rsid w:val="272A5F01"/>
    <w:rsid w:val="27493F41"/>
    <w:rsid w:val="27767BD4"/>
    <w:rsid w:val="277A268A"/>
    <w:rsid w:val="27826579"/>
    <w:rsid w:val="279A1481"/>
    <w:rsid w:val="27AB1F74"/>
    <w:rsid w:val="27EE5D75"/>
    <w:rsid w:val="2856314B"/>
    <w:rsid w:val="285F68BA"/>
    <w:rsid w:val="28884063"/>
    <w:rsid w:val="28E05C4D"/>
    <w:rsid w:val="28F25980"/>
    <w:rsid w:val="29056808"/>
    <w:rsid w:val="291B5559"/>
    <w:rsid w:val="29320DA3"/>
    <w:rsid w:val="29451F54"/>
    <w:rsid w:val="294C4188"/>
    <w:rsid w:val="2A3A736B"/>
    <w:rsid w:val="2A524929"/>
    <w:rsid w:val="2A790107"/>
    <w:rsid w:val="2A885296"/>
    <w:rsid w:val="2A950CB9"/>
    <w:rsid w:val="2A9C6F64"/>
    <w:rsid w:val="2AA333D6"/>
    <w:rsid w:val="2AC31382"/>
    <w:rsid w:val="2AF8286E"/>
    <w:rsid w:val="2B0B1E63"/>
    <w:rsid w:val="2B1B11BE"/>
    <w:rsid w:val="2B255B99"/>
    <w:rsid w:val="2B457FE9"/>
    <w:rsid w:val="2B830B12"/>
    <w:rsid w:val="2B906808"/>
    <w:rsid w:val="2B967CE2"/>
    <w:rsid w:val="2BAF6ABB"/>
    <w:rsid w:val="2C365B84"/>
    <w:rsid w:val="2C52474D"/>
    <w:rsid w:val="2C626979"/>
    <w:rsid w:val="2C6426F1"/>
    <w:rsid w:val="2C680433"/>
    <w:rsid w:val="2C6941AB"/>
    <w:rsid w:val="2C786367"/>
    <w:rsid w:val="2CBA67B5"/>
    <w:rsid w:val="2CE850D0"/>
    <w:rsid w:val="2CFB12A7"/>
    <w:rsid w:val="2D031F0A"/>
    <w:rsid w:val="2D0B414C"/>
    <w:rsid w:val="2D194365"/>
    <w:rsid w:val="2D452523"/>
    <w:rsid w:val="2D684463"/>
    <w:rsid w:val="2D821FDA"/>
    <w:rsid w:val="2D8C1573"/>
    <w:rsid w:val="2DEA30CA"/>
    <w:rsid w:val="2E051CB2"/>
    <w:rsid w:val="2E0A1F6A"/>
    <w:rsid w:val="2E1048F5"/>
    <w:rsid w:val="2E124790"/>
    <w:rsid w:val="2E1F157D"/>
    <w:rsid w:val="2E6609A2"/>
    <w:rsid w:val="2E725599"/>
    <w:rsid w:val="2E7C6BFF"/>
    <w:rsid w:val="2E7E033B"/>
    <w:rsid w:val="2F087CAC"/>
    <w:rsid w:val="2F10090E"/>
    <w:rsid w:val="2F210E65"/>
    <w:rsid w:val="2F295CCC"/>
    <w:rsid w:val="2F3E191F"/>
    <w:rsid w:val="2F590507"/>
    <w:rsid w:val="2F8D01B1"/>
    <w:rsid w:val="2FA41659"/>
    <w:rsid w:val="30224D9D"/>
    <w:rsid w:val="305E56A9"/>
    <w:rsid w:val="306B6744"/>
    <w:rsid w:val="307E2412"/>
    <w:rsid w:val="309D536F"/>
    <w:rsid w:val="311B76C1"/>
    <w:rsid w:val="313613CE"/>
    <w:rsid w:val="31371613"/>
    <w:rsid w:val="313908AB"/>
    <w:rsid w:val="314465B8"/>
    <w:rsid w:val="317C04DD"/>
    <w:rsid w:val="31A90F01"/>
    <w:rsid w:val="31C81974"/>
    <w:rsid w:val="31D066C5"/>
    <w:rsid w:val="31F451A8"/>
    <w:rsid w:val="31FE5396"/>
    <w:rsid w:val="323572CB"/>
    <w:rsid w:val="323B04A4"/>
    <w:rsid w:val="32432DA9"/>
    <w:rsid w:val="329E7067"/>
    <w:rsid w:val="32C043F9"/>
    <w:rsid w:val="32C148E5"/>
    <w:rsid w:val="32C21624"/>
    <w:rsid w:val="33323549"/>
    <w:rsid w:val="33641229"/>
    <w:rsid w:val="339D1A57"/>
    <w:rsid w:val="33AD01BF"/>
    <w:rsid w:val="33FE421D"/>
    <w:rsid w:val="340053F5"/>
    <w:rsid w:val="3442156A"/>
    <w:rsid w:val="34802092"/>
    <w:rsid w:val="34CE1050"/>
    <w:rsid w:val="34FB796B"/>
    <w:rsid w:val="350031D3"/>
    <w:rsid w:val="35154ED0"/>
    <w:rsid w:val="35235196"/>
    <w:rsid w:val="354312AE"/>
    <w:rsid w:val="35963460"/>
    <w:rsid w:val="359702F7"/>
    <w:rsid w:val="363F4A21"/>
    <w:rsid w:val="365E6403"/>
    <w:rsid w:val="36AA50EA"/>
    <w:rsid w:val="36B64491"/>
    <w:rsid w:val="370A20E7"/>
    <w:rsid w:val="370E2874"/>
    <w:rsid w:val="370F64B2"/>
    <w:rsid w:val="375120B2"/>
    <w:rsid w:val="378A39C6"/>
    <w:rsid w:val="37C04378"/>
    <w:rsid w:val="37C37155"/>
    <w:rsid w:val="37CC30FB"/>
    <w:rsid w:val="38451D30"/>
    <w:rsid w:val="3879064E"/>
    <w:rsid w:val="387D4B6C"/>
    <w:rsid w:val="3880534A"/>
    <w:rsid w:val="38D744D8"/>
    <w:rsid w:val="392751D2"/>
    <w:rsid w:val="395B76F7"/>
    <w:rsid w:val="396B6801"/>
    <w:rsid w:val="39891E47"/>
    <w:rsid w:val="398E5251"/>
    <w:rsid w:val="399860D0"/>
    <w:rsid w:val="39BE5B37"/>
    <w:rsid w:val="39CC4F72"/>
    <w:rsid w:val="39F72DF7"/>
    <w:rsid w:val="3A053505"/>
    <w:rsid w:val="3A575260"/>
    <w:rsid w:val="3A59585F"/>
    <w:rsid w:val="3A886145"/>
    <w:rsid w:val="3A895CCB"/>
    <w:rsid w:val="3AA6459C"/>
    <w:rsid w:val="3AB15613"/>
    <w:rsid w:val="3AF91D62"/>
    <w:rsid w:val="3B2319C9"/>
    <w:rsid w:val="3B660234"/>
    <w:rsid w:val="3B667BE8"/>
    <w:rsid w:val="3B7E0727"/>
    <w:rsid w:val="3B7E4420"/>
    <w:rsid w:val="3B8B1B71"/>
    <w:rsid w:val="3B8B471B"/>
    <w:rsid w:val="3BAE5737"/>
    <w:rsid w:val="3BF84C04"/>
    <w:rsid w:val="3C073099"/>
    <w:rsid w:val="3C1C4C79"/>
    <w:rsid w:val="3C1E1133"/>
    <w:rsid w:val="3C25226C"/>
    <w:rsid w:val="3C262A59"/>
    <w:rsid w:val="3C4A1903"/>
    <w:rsid w:val="3C6F2629"/>
    <w:rsid w:val="3C762E21"/>
    <w:rsid w:val="3C813BA0"/>
    <w:rsid w:val="3C841674"/>
    <w:rsid w:val="3CAA396B"/>
    <w:rsid w:val="3CBF274C"/>
    <w:rsid w:val="3CC2593E"/>
    <w:rsid w:val="3CC33464"/>
    <w:rsid w:val="3CD13DD3"/>
    <w:rsid w:val="3CDC102A"/>
    <w:rsid w:val="3D2317C1"/>
    <w:rsid w:val="3D404555"/>
    <w:rsid w:val="3DBD7EB3"/>
    <w:rsid w:val="3DE74F30"/>
    <w:rsid w:val="3E047890"/>
    <w:rsid w:val="3E3A3E57"/>
    <w:rsid w:val="3E4103B6"/>
    <w:rsid w:val="3E951987"/>
    <w:rsid w:val="3EF913BF"/>
    <w:rsid w:val="3F1C50AD"/>
    <w:rsid w:val="3F1E0E25"/>
    <w:rsid w:val="3F283A52"/>
    <w:rsid w:val="3F771C09"/>
    <w:rsid w:val="3F7902D5"/>
    <w:rsid w:val="3F7942AE"/>
    <w:rsid w:val="3FCE0156"/>
    <w:rsid w:val="3FD1499F"/>
    <w:rsid w:val="3FEB51AC"/>
    <w:rsid w:val="3FEE4CB9"/>
    <w:rsid w:val="3FF91CB6"/>
    <w:rsid w:val="40260C87"/>
    <w:rsid w:val="402F6E92"/>
    <w:rsid w:val="40477F08"/>
    <w:rsid w:val="40A9471F"/>
    <w:rsid w:val="40D75730"/>
    <w:rsid w:val="410A340F"/>
    <w:rsid w:val="41264191"/>
    <w:rsid w:val="412856C0"/>
    <w:rsid w:val="412A1A75"/>
    <w:rsid w:val="412C5A7C"/>
    <w:rsid w:val="41444342"/>
    <w:rsid w:val="41677F4A"/>
    <w:rsid w:val="418D13E5"/>
    <w:rsid w:val="418D4040"/>
    <w:rsid w:val="41B20209"/>
    <w:rsid w:val="420F1962"/>
    <w:rsid w:val="423B5E0F"/>
    <w:rsid w:val="42424D84"/>
    <w:rsid w:val="425132C0"/>
    <w:rsid w:val="42937435"/>
    <w:rsid w:val="42D26C8F"/>
    <w:rsid w:val="42E67EAC"/>
    <w:rsid w:val="43BC5E40"/>
    <w:rsid w:val="43C31F9B"/>
    <w:rsid w:val="44226CC2"/>
    <w:rsid w:val="44742EF1"/>
    <w:rsid w:val="44936F24"/>
    <w:rsid w:val="449B0501"/>
    <w:rsid w:val="44AB6CB7"/>
    <w:rsid w:val="44DA134B"/>
    <w:rsid w:val="450F5BA1"/>
    <w:rsid w:val="45260A34"/>
    <w:rsid w:val="457B2B2E"/>
    <w:rsid w:val="45806396"/>
    <w:rsid w:val="459C0CF6"/>
    <w:rsid w:val="45C51FFB"/>
    <w:rsid w:val="45E65A95"/>
    <w:rsid w:val="466435C2"/>
    <w:rsid w:val="4665733A"/>
    <w:rsid w:val="466E61EE"/>
    <w:rsid w:val="46E60E26"/>
    <w:rsid w:val="46FE3A16"/>
    <w:rsid w:val="47151445"/>
    <w:rsid w:val="4774745E"/>
    <w:rsid w:val="478F5647"/>
    <w:rsid w:val="47AA14A8"/>
    <w:rsid w:val="47B61E19"/>
    <w:rsid w:val="480A63EB"/>
    <w:rsid w:val="48311BC9"/>
    <w:rsid w:val="48733F90"/>
    <w:rsid w:val="48E46C3C"/>
    <w:rsid w:val="48EE3617"/>
    <w:rsid w:val="49437E06"/>
    <w:rsid w:val="49573CB4"/>
    <w:rsid w:val="49B02FC2"/>
    <w:rsid w:val="49C64593"/>
    <w:rsid w:val="49F44C5D"/>
    <w:rsid w:val="4A017E23"/>
    <w:rsid w:val="4A494D0A"/>
    <w:rsid w:val="4A9432D3"/>
    <w:rsid w:val="4AA52D9C"/>
    <w:rsid w:val="4AA57740"/>
    <w:rsid w:val="4AAE12AF"/>
    <w:rsid w:val="4AB47927"/>
    <w:rsid w:val="4AD30D16"/>
    <w:rsid w:val="4ADE3C92"/>
    <w:rsid w:val="4AEC6043"/>
    <w:rsid w:val="4AFC7DE3"/>
    <w:rsid w:val="4B1530DD"/>
    <w:rsid w:val="4BEF1B80"/>
    <w:rsid w:val="4C11016E"/>
    <w:rsid w:val="4C1866D1"/>
    <w:rsid w:val="4C4C6FD2"/>
    <w:rsid w:val="4C8D1398"/>
    <w:rsid w:val="4CC528E0"/>
    <w:rsid w:val="4D3459D6"/>
    <w:rsid w:val="4D447CA9"/>
    <w:rsid w:val="4D510618"/>
    <w:rsid w:val="4D5D6FBD"/>
    <w:rsid w:val="4D6620BA"/>
    <w:rsid w:val="4D93478D"/>
    <w:rsid w:val="4E131240"/>
    <w:rsid w:val="4E1C29D4"/>
    <w:rsid w:val="4E2B0E69"/>
    <w:rsid w:val="4E310849"/>
    <w:rsid w:val="4E31748B"/>
    <w:rsid w:val="4E3E1B03"/>
    <w:rsid w:val="4E422CC5"/>
    <w:rsid w:val="4E45658E"/>
    <w:rsid w:val="4E526B36"/>
    <w:rsid w:val="4EA15545"/>
    <w:rsid w:val="4EAA5A61"/>
    <w:rsid w:val="4EE96D5A"/>
    <w:rsid w:val="4EFE20DA"/>
    <w:rsid w:val="4F181D81"/>
    <w:rsid w:val="4F6C1739"/>
    <w:rsid w:val="4F813436"/>
    <w:rsid w:val="4FEB5468"/>
    <w:rsid w:val="4FFE7C36"/>
    <w:rsid w:val="4FFF25AD"/>
    <w:rsid w:val="5006393C"/>
    <w:rsid w:val="500E1CF8"/>
    <w:rsid w:val="50BF2B01"/>
    <w:rsid w:val="50C71676"/>
    <w:rsid w:val="51145BE4"/>
    <w:rsid w:val="516E158F"/>
    <w:rsid w:val="51722193"/>
    <w:rsid w:val="51984184"/>
    <w:rsid w:val="51C4585C"/>
    <w:rsid w:val="51F36142"/>
    <w:rsid w:val="522E2B51"/>
    <w:rsid w:val="52422827"/>
    <w:rsid w:val="52946FDD"/>
    <w:rsid w:val="529E60AD"/>
    <w:rsid w:val="52B728D3"/>
    <w:rsid w:val="52BE1053"/>
    <w:rsid w:val="52DF77F7"/>
    <w:rsid w:val="52FC2DD4"/>
    <w:rsid w:val="53227120"/>
    <w:rsid w:val="53325CC2"/>
    <w:rsid w:val="536039D3"/>
    <w:rsid w:val="537C1F19"/>
    <w:rsid w:val="539B03B7"/>
    <w:rsid w:val="53EA0E7E"/>
    <w:rsid w:val="543A0058"/>
    <w:rsid w:val="543F76BA"/>
    <w:rsid w:val="544D7D8B"/>
    <w:rsid w:val="545E4980"/>
    <w:rsid w:val="549B7172"/>
    <w:rsid w:val="54D90406"/>
    <w:rsid w:val="54D933CD"/>
    <w:rsid w:val="55012C8B"/>
    <w:rsid w:val="550A17D8"/>
    <w:rsid w:val="558329BA"/>
    <w:rsid w:val="5600472B"/>
    <w:rsid w:val="5606715A"/>
    <w:rsid w:val="564E64E5"/>
    <w:rsid w:val="565C6FA9"/>
    <w:rsid w:val="566D7F71"/>
    <w:rsid w:val="567E247E"/>
    <w:rsid w:val="569B134C"/>
    <w:rsid w:val="56C41374"/>
    <w:rsid w:val="56CD51B3"/>
    <w:rsid w:val="56CE4A87"/>
    <w:rsid w:val="56D77DE0"/>
    <w:rsid w:val="572821B6"/>
    <w:rsid w:val="57A9177C"/>
    <w:rsid w:val="57D910F2"/>
    <w:rsid w:val="581237DA"/>
    <w:rsid w:val="58226E39"/>
    <w:rsid w:val="58535734"/>
    <w:rsid w:val="587071A7"/>
    <w:rsid w:val="58760431"/>
    <w:rsid w:val="58780442"/>
    <w:rsid w:val="5882143B"/>
    <w:rsid w:val="58900246"/>
    <w:rsid w:val="58B02697"/>
    <w:rsid w:val="593924D4"/>
    <w:rsid w:val="594700E3"/>
    <w:rsid w:val="5979276E"/>
    <w:rsid w:val="59815DE1"/>
    <w:rsid w:val="59C256E4"/>
    <w:rsid w:val="5A144EA7"/>
    <w:rsid w:val="5A696FA1"/>
    <w:rsid w:val="5A9D30EE"/>
    <w:rsid w:val="5BD97D4E"/>
    <w:rsid w:val="5C074CC3"/>
    <w:rsid w:val="5C0C4088"/>
    <w:rsid w:val="5C6A7000"/>
    <w:rsid w:val="5C700989"/>
    <w:rsid w:val="5CAE48F9"/>
    <w:rsid w:val="5CAE613A"/>
    <w:rsid w:val="5CB0535B"/>
    <w:rsid w:val="5D3F048D"/>
    <w:rsid w:val="5D5332C7"/>
    <w:rsid w:val="5D635F29"/>
    <w:rsid w:val="5D700646"/>
    <w:rsid w:val="5D8A795A"/>
    <w:rsid w:val="5D994262"/>
    <w:rsid w:val="5DCE49E2"/>
    <w:rsid w:val="5DD42CF4"/>
    <w:rsid w:val="5E0C4936"/>
    <w:rsid w:val="5E2733FB"/>
    <w:rsid w:val="5E382E13"/>
    <w:rsid w:val="5E7B7D5B"/>
    <w:rsid w:val="5EA56355"/>
    <w:rsid w:val="5EAB08AD"/>
    <w:rsid w:val="5ECC5D50"/>
    <w:rsid w:val="5EFE1FDE"/>
    <w:rsid w:val="5F427DC1"/>
    <w:rsid w:val="5F4F0E5B"/>
    <w:rsid w:val="5F5A7800"/>
    <w:rsid w:val="5F742670"/>
    <w:rsid w:val="5F781A34"/>
    <w:rsid w:val="5F9C5723"/>
    <w:rsid w:val="5F9E76ED"/>
    <w:rsid w:val="5FA25CD8"/>
    <w:rsid w:val="5FEB66AA"/>
    <w:rsid w:val="5FEE13E9"/>
    <w:rsid w:val="602B6327"/>
    <w:rsid w:val="602F60E9"/>
    <w:rsid w:val="603C1FFC"/>
    <w:rsid w:val="605C0058"/>
    <w:rsid w:val="606827D5"/>
    <w:rsid w:val="60956D42"/>
    <w:rsid w:val="609C0C43"/>
    <w:rsid w:val="609E5971"/>
    <w:rsid w:val="614D50FB"/>
    <w:rsid w:val="6153006A"/>
    <w:rsid w:val="61997914"/>
    <w:rsid w:val="619E0170"/>
    <w:rsid w:val="61D03DA9"/>
    <w:rsid w:val="61DF3FED"/>
    <w:rsid w:val="61E07370"/>
    <w:rsid w:val="61E33385"/>
    <w:rsid w:val="620D2908"/>
    <w:rsid w:val="62652744"/>
    <w:rsid w:val="626A1B08"/>
    <w:rsid w:val="62FE631E"/>
    <w:rsid w:val="6386781D"/>
    <w:rsid w:val="63C937C7"/>
    <w:rsid w:val="63DF2082"/>
    <w:rsid w:val="640472D7"/>
    <w:rsid w:val="64063AB3"/>
    <w:rsid w:val="641C1F88"/>
    <w:rsid w:val="64556B55"/>
    <w:rsid w:val="64925346"/>
    <w:rsid w:val="64A21A2D"/>
    <w:rsid w:val="64DB3E41"/>
    <w:rsid w:val="64EE4C72"/>
    <w:rsid w:val="654851FE"/>
    <w:rsid w:val="656E1B1E"/>
    <w:rsid w:val="65B37C6A"/>
    <w:rsid w:val="65DD3E5F"/>
    <w:rsid w:val="65E8717A"/>
    <w:rsid w:val="66334DC2"/>
    <w:rsid w:val="66650F64"/>
    <w:rsid w:val="66833198"/>
    <w:rsid w:val="66A729CC"/>
    <w:rsid w:val="66C51A03"/>
    <w:rsid w:val="670C7632"/>
    <w:rsid w:val="670F7122"/>
    <w:rsid w:val="673152EA"/>
    <w:rsid w:val="67566AFF"/>
    <w:rsid w:val="676014F9"/>
    <w:rsid w:val="67656D42"/>
    <w:rsid w:val="67917B79"/>
    <w:rsid w:val="67C577E1"/>
    <w:rsid w:val="67D06199"/>
    <w:rsid w:val="67D736A0"/>
    <w:rsid w:val="68280D7D"/>
    <w:rsid w:val="68A112AF"/>
    <w:rsid w:val="68FE1361"/>
    <w:rsid w:val="690913E0"/>
    <w:rsid w:val="69342E70"/>
    <w:rsid w:val="694F7CAA"/>
    <w:rsid w:val="69A80950"/>
    <w:rsid w:val="69F6406B"/>
    <w:rsid w:val="6A5C3FC2"/>
    <w:rsid w:val="6A67513A"/>
    <w:rsid w:val="6A6D4F83"/>
    <w:rsid w:val="6AA87975"/>
    <w:rsid w:val="6B1C3BBC"/>
    <w:rsid w:val="6B3E64A3"/>
    <w:rsid w:val="6B440C9A"/>
    <w:rsid w:val="6B4C17C5"/>
    <w:rsid w:val="6B545C45"/>
    <w:rsid w:val="6C201D3A"/>
    <w:rsid w:val="6C700663"/>
    <w:rsid w:val="6C792D7D"/>
    <w:rsid w:val="6C7F3298"/>
    <w:rsid w:val="6C8E0AE9"/>
    <w:rsid w:val="6CAC554D"/>
    <w:rsid w:val="6CAD0F6F"/>
    <w:rsid w:val="6CD209D6"/>
    <w:rsid w:val="6CDF38D3"/>
    <w:rsid w:val="6CE80B79"/>
    <w:rsid w:val="6CF272CA"/>
    <w:rsid w:val="6D075326"/>
    <w:rsid w:val="6D12171A"/>
    <w:rsid w:val="6D464F20"/>
    <w:rsid w:val="6D58333F"/>
    <w:rsid w:val="6D9642D2"/>
    <w:rsid w:val="6DB4632D"/>
    <w:rsid w:val="6DBD3434"/>
    <w:rsid w:val="6DC24EEE"/>
    <w:rsid w:val="6DC61B09"/>
    <w:rsid w:val="6DD4077E"/>
    <w:rsid w:val="6E104562"/>
    <w:rsid w:val="6E343746"/>
    <w:rsid w:val="6E517E9A"/>
    <w:rsid w:val="6E5F67B2"/>
    <w:rsid w:val="6E83026E"/>
    <w:rsid w:val="6EA12A6E"/>
    <w:rsid w:val="6EAB7730"/>
    <w:rsid w:val="6EF966EE"/>
    <w:rsid w:val="6F1F1ECC"/>
    <w:rsid w:val="6F433E7E"/>
    <w:rsid w:val="6F437969"/>
    <w:rsid w:val="6F7264A0"/>
    <w:rsid w:val="6F773AB6"/>
    <w:rsid w:val="6F885CC3"/>
    <w:rsid w:val="6FA106B4"/>
    <w:rsid w:val="6FC50E0F"/>
    <w:rsid w:val="6FF43359"/>
    <w:rsid w:val="6FFF4DCD"/>
    <w:rsid w:val="70051CAB"/>
    <w:rsid w:val="700C06A3"/>
    <w:rsid w:val="70544477"/>
    <w:rsid w:val="7064228D"/>
    <w:rsid w:val="70A26911"/>
    <w:rsid w:val="70B3029A"/>
    <w:rsid w:val="70BA00FF"/>
    <w:rsid w:val="70E00014"/>
    <w:rsid w:val="70EF7E2E"/>
    <w:rsid w:val="70FD6B70"/>
    <w:rsid w:val="71297032"/>
    <w:rsid w:val="714631F7"/>
    <w:rsid w:val="717977CF"/>
    <w:rsid w:val="71C01745"/>
    <w:rsid w:val="71C70D25"/>
    <w:rsid w:val="71DE4E50"/>
    <w:rsid w:val="72930C6D"/>
    <w:rsid w:val="72941D50"/>
    <w:rsid w:val="729D7567"/>
    <w:rsid w:val="72B15531"/>
    <w:rsid w:val="733C304D"/>
    <w:rsid w:val="733F0D8F"/>
    <w:rsid w:val="734B7734"/>
    <w:rsid w:val="73C2557F"/>
    <w:rsid w:val="740476B0"/>
    <w:rsid w:val="744E128A"/>
    <w:rsid w:val="746740F9"/>
    <w:rsid w:val="74A25132"/>
    <w:rsid w:val="74E41919"/>
    <w:rsid w:val="74FA4F6E"/>
    <w:rsid w:val="75087867"/>
    <w:rsid w:val="7512389A"/>
    <w:rsid w:val="75B90985"/>
    <w:rsid w:val="75DB4D9F"/>
    <w:rsid w:val="75E218D9"/>
    <w:rsid w:val="75E72CC8"/>
    <w:rsid w:val="75F43BA6"/>
    <w:rsid w:val="76312C11"/>
    <w:rsid w:val="76404C02"/>
    <w:rsid w:val="76B86E8E"/>
    <w:rsid w:val="76D33CC8"/>
    <w:rsid w:val="76EE5EA0"/>
    <w:rsid w:val="77324E93"/>
    <w:rsid w:val="775858BF"/>
    <w:rsid w:val="77783132"/>
    <w:rsid w:val="77813044"/>
    <w:rsid w:val="77B84C6C"/>
    <w:rsid w:val="77D3756F"/>
    <w:rsid w:val="77F550F4"/>
    <w:rsid w:val="784F55D0"/>
    <w:rsid w:val="787A0EA1"/>
    <w:rsid w:val="78AA6CAB"/>
    <w:rsid w:val="78FD327E"/>
    <w:rsid w:val="79112886"/>
    <w:rsid w:val="79341573"/>
    <w:rsid w:val="79825532"/>
    <w:rsid w:val="79B24069"/>
    <w:rsid w:val="79E306C6"/>
    <w:rsid w:val="7A2C61E7"/>
    <w:rsid w:val="7A3525A4"/>
    <w:rsid w:val="7A387029"/>
    <w:rsid w:val="7A4555A2"/>
    <w:rsid w:val="7A547236"/>
    <w:rsid w:val="7A5A025C"/>
    <w:rsid w:val="7A9F70DE"/>
    <w:rsid w:val="7AAA2F92"/>
    <w:rsid w:val="7AD65B35"/>
    <w:rsid w:val="7AE00762"/>
    <w:rsid w:val="7AEF2A0F"/>
    <w:rsid w:val="7B047259"/>
    <w:rsid w:val="7B5353D8"/>
    <w:rsid w:val="7BA93E3A"/>
    <w:rsid w:val="7BE03151"/>
    <w:rsid w:val="7BF55794"/>
    <w:rsid w:val="7C355C76"/>
    <w:rsid w:val="7C464F3C"/>
    <w:rsid w:val="7CE502B1"/>
    <w:rsid w:val="7CE8640F"/>
    <w:rsid w:val="7D1F7CCB"/>
    <w:rsid w:val="7D481BBF"/>
    <w:rsid w:val="7D851A94"/>
    <w:rsid w:val="7D871368"/>
    <w:rsid w:val="7DA14E82"/>
    <w:rsid w:val="7DD005ED"/>
    <w:rsid w:val="7E2E0B1C"/>
    <w:rsid w:val="7E2F0455"/>
    <w:rsid w:val="7E5F4093"/>
    <w:rsid w:val="7E7E5038"/>
    <w:rsid w:val="7EA13BBE"/>
    <w:rsid w:val="7EC562F5"/>
    <w:rsid w:val="7F4C0ABC"/>
    <w:rsid w:val="7F5273F6"/>
    <w:rsid w:val="7F56725F"/>
    <w:rsid w:val="7F737DF6"/>
    <w:rsid w:val="7F74591C"/>
    <w:rsid w:val="7FC05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14:defaultImageDpi w14:val="30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semiHidden="0" w:name="heading 6"/>
    <w:lsdException w:qFormat="1" w:uiPriority="9" w:semiHidden="0" w:name="heading 7"/>
    <w:lsdException w:qFormat="1" w:uiPriority="9" w:semiHidden="0" w:name="heading 8"/>
    <w:lsdException w:qFormat="1" w:uiPriority="9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1" w:semiHidden="0" w:name="toc 1"/>
    <w:lsdException w:qFormat="1" w:unhideWhenUsed="0" w:uiPriority="1" w:semiHidden="0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qFormat="1" w:uiPriority="99" w:semiHidden="0" w:name="macro"/>
    <w:lsdException w:uiPriority="99" w:name="toa heading"/>
    <w:lsdException w:qFormat="1" w:uiPriority="99" w:semiHidden="0" w:name="List"/>
    <w:lsdException w:qFormat="1" w:uiPriority="99" w:semiHidden="0" w:name="List Bullet"/>
    <w:lsdException w:qFormat="1" w:uiPriority="99" w:semiHidden="0" w:name="List Number"/>
    <w:lsdException w:qFormat="1" w:uiPriority="99" w:semiHidden="0" w:name="List 2"/>
    <w:lsdException w:qFormat="1" w:uiPriority="99" w:semiHidden="0" w:name="List 3"/>
    <w:lsdException w:uiPriority="99" w:name="List 4"/>
    <w:lsdException w:uiPriority="99" w:name="List 5"/>
    <w:lsdException w:qFormat="1" w:uiPriority="99" w:semiHidden="0" w:name="List Bullet 2"/>
    <w:lsdException w:qFormat="1" w:uiPriority="99" w:semiHidden="0" w:name="List Bullet 3"/>
    <w:lsdException w:uiPriority="99" w:name="List Bullet 4"/>
    <w:lsdException w:uiPriority="99" w:name="List Bullet 5"/>
    <w:lsdException w:qFormat="1" w:uiPriority="99" w:semiHidden="0" w:name="List Number 2"/>
    <w:lsdException w:qFormat="1" w:uiPriority="99" w:semiHidden="0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qFormat="1" w:unhideWhenUsed="0" w:uiPriority="0" w:semiHidden="0" w:name="Body Text Indent"/>
    <w:lsdException w:qFormat="1" w:uiPriority="99" w:semiHidden="0" w:name="List Continue"/>
    <w:lsdException w:qFormat="1" w:uiPriority="99" w:semiHidden="0" w:name="List Continue 2"/>
    <w:lsdException w:qFormat="1" w:uiPriority="99" w:semiHidden="0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qFormat="1" w:uiPriority="99" w:semiHidden="0" w:name="Body Text 2"/>
    <w:lsdException w:qFormat="1" w:uiPriority="99" w:semiHidden="0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60" w:semiHidden="0" w:name="Light Shading"/>
    <w:lsdException w:qFormat="1" w:unhideWhenUsed="0" w:uiPriority="61" w:semiHidden="0" w:name="Light List"/>
    <w:lsdException w:qFormat="1" w:unhideWhenUsed="0" w:uiPriority="62" w:semiHidden="0" w:name="Light Grid"/>
    <w:lsdException w:qFormat="1" w:unhideWhenUsed="0" w:uiPriority="63" w:semiHidden="0" w:name="Medium Shading 1"/>
    <w:lsdException w:qFormat="1" w:unhideWhenUsed="0" w:uiPriority="64" w:semiHidden="0" w:name="Medium Shading 2"/>
    <w:lsdException w:qFormat="1" w:unhideWhenUsed="0" w:uiPriority="65" w:semiHidden="0" w:name="Medium List 1"/>
    <w:lsdException w:qFormat="1" w:unhideWhenUsed="0" w:uiPriority="66" w:semiHidden="0" w:name="Medium List 2"/>
    <w:lsdException w:qFormat="1" w:unhideWhenUsed="0" w:uiPriority="67" w:semiHidden="0" w:name="Medium Grid 1"/>
    <w:lsdException w:qFormat="1" w:unhideWhenUsed="0" w:uiPriority="68" w:semiHidden="0" w:name="Medium Grid 2"/>
    <w:lsdException w:qFormat="1" w:unhideWhenUsed="0" w:uiPriority="69" w:semiHidden="0" w:name="Medium Grid 3"/>
    <w:lsdException w:qFormat="1" w:unhideWhenUsed="0" w:uiPriority="70" w:semiHidden="0" w:name="Dark List"/>
    <w:lsdException w:qFormat="1" w:unhideWhenUsed="0" w:uiPriority="71" w:semiHidden="0" w:name="Colorful Shading"/>
    <w:lsdException w:qFormat="1" w:unhideWhenUsed="0" w:uiPriority="72" w:semiHidden="0" w:name="Colorful List"/>
    <w:lsdException w:qFormat="1" w:unhideWhenUsed="0" w:uiPriority="73" w:semiHidden="0" w:name="Colorful Grid"/>
    <w:lsdException w:qFormat="1" w:unhideWhenUsed="0" w:uiPriority="60" w:semiHidden="0" w:name="Light Shading Accent 1"/>
    <w:lsdException w:qFormat="1" w:unhideWhenUsed="0" w:uiPriority="61" w:semiHidden="0" w:name="Light List Accent 1"/>
    <w:lsdException w:qFormat="1" w:unhideWhenUsed="0" w:uiPriority="62" w:semiHidden="0" w:name="Light Grid Accent 1"/>
    <w:lsdException w:qFormat="1" w:unhideWhenUsed="0" w:uiPriority="63" w:semiHidden="0" w:name="Medium Shading 1 Accent 1"/>
    <w:lsdException w:qFormat="1" w:unhideWhenUsed="0" w:uiPriority="64" w:semiHidden="0" w:name="Medium Shading 2 Accent 1"/>
    <w:lsdException w:qFormat="1" w:unhideWhenUsed="0" w:uiPriority="65" w:semiHidden="0" w:name="Medium List 1 Accent 1"/>
    <w:lsdException w:uiPriority="99" w:semiHidden="0" w:name="List Paragraph"/>
    <w:lsdException w:qFormat="1" w:unhideWhenUsed="0" w:uiPriority="66" w:semiHidden="0" w:name="Medium List 2 Accent 1"/>
    <w:lsdException w:qFormat="1" w:unhideWhenUsed="0" w:uiPriority="67" w:semiHidden="0" w:name="Medium Grid 1 Accent 1"/>
    <w:lsdException w:qFormat="1" w:unhideWhenUsed="0" w:uiPriority="68" w:semiHidden="0" w:name="Medium Grid 2 Accent 1"/>
    <w:lsdException w:qFormat="1" w:unhideWhenUsed="0" w:uiPriority="69" w:semiHidden="0" w:name="Medium Grid 3 Accent 1"/>
    <w:lsdException w:qFormat="1" w:unhideWhenUsed="0" w:uiPriority="70" w:semiHidden="0" w:name="Dark List Accent 1"/>
    <w:lsdException w:qFormat="1" w:unhideWhenUsed="0" w:uiPriority="71" w:semiHidden="0" w:name="Colorful Shading Accent 1"/>
    <w:lsdException w:qFormat="1" w:unhideWhenUsed="0" w:uiPriority="72" w:semiHidden="0" w:name="Colorful List Accent 1"/>
    <w:lsdException w:qFormat="1" w:unhideWhenUsed="0" w:uiPriority="73" w:semiHidden="0" w:name="Colorful Grid Accent 1"/>
    <w:lsdException w:qFormat="1" w:unhideWhenUsed="0" w:uiPriority="60" w:semiHidden="0" w:name="Light Shading Accent 2"/>
    <w:lsdException w:qFormat="1" w:unhideWhenUsed="0" w:uiPriority="61" w:semiHidden="0" w:name="Light List Accent 2"/>
    <w:lsdException w:qFormat="1" w:unhideWhenUsed="0" w:uiPriority="62" w:semiHidden="0" w:name="Light Grid Accent 2"/>
    <w:lsdException w:qFormat="1" w:unhideWhenUsed="0" w:uiPriority="63" w:semiHidden="0" w:name="Medium Shading 1 Accent 2"/>
    <w:lsdException w:qFormat="1" w:unhideWhenUsed="0" w:uiPriority="64" w:semiHidden="0" w:name="Medium Shading 2 Accent 2"/>
    <w:lsdException w:qFormat="1" w:unhideWhenUsed="0" w:uiPriority="65" w:semiHidden="0" w:name="Medium List 1 Accent 2"/>
    <w:lsdException w:qFormat="1" w:unhideWhenUsed="0" w:uiPriority="66" w:semiHidden="0" w:name="Medium List 2 Accent 2"/>
    <w:lsdException w:qFormat="1" w:unhideWhenUsed="0" w:uiPriority="67" w:semiHidden="0" w:name="Medium Grid 1 Accent 2"/>
    <w:lsdException w:qFormat="1" w:unhideWhenUsed="0" w:uiPriority="68" w:semiHidden="0" w:name="Medium Grid 2 Accent 2"/>
    <w:lsdException w:qFormat="1" w:unhideWhenUsed="0" w:uiPriority="69" w:semiHidden="0" w:name="Medium Grid 3 Accent 2"/>
    <w:lsdException w:qFormat="1" w:unhideWhenUsed="0" w:uiPriority="70" w:semiHidden="0" w:name="Dark List Accent 2"/>
    <w:lsdException w:qFormat="1" w:unhideWhenUsed="0" w:uiPriority="71" w:semiHidden="0" w:name="Colorful Shading Accent 2"/>
    <w:lsdException w:qFormat="1" w:unhideWhenUsed="0" w:uiPriority="72" w:semiHidden="0" w:name="Colorful List Accent 2"/>
    <w:lsdException w:qFormat="1" w:unhideWhenUsed="0" w:uiPriority="73" w:semiHidden="0" w:name="Colorful Grid Accent 2"/>
    <w:lsdException w:qFormat="1" w:unhideWhenUsed="0" w:uiPriority="60" w:semiHidden="0" w:name="Light Shading Accent 3"/>
    <w:lsdException w:qFormat="1" w:unhideWhenUsed="0" w:uiPriority="61" w:semiHidden="0" w:name="Light List Accent 3"/>
    <w:lsdException w:qFormat="1" w:unhideWhenUsed="0" w:uiPriority="62" w:semiHidden="0" w:name="Light Grid Accent 3"/>
    <w:lsdException w:qFormat="1" w:unhideWhenUsed="0" w:uiPriority="63" w:semiHidden="0" w:name="Medium Shading 1 Accent 3"/>
    <w:lsdException w:qFormat="1" w:unhideWhenUsed="0" w:uiPriority="64" w:semiHidden="0" w:name="Medium Shading 2 Accent 3"/>
    <w:lsdException w:qFormat="1" w:unhideWhenUsed="0" w:uiPriority="65" w:semiHidden="0" w:name="Medium List 1 Accent 3"/>
    <w:lsdException w:qFormat="1" w:unhideWhenUsed="0" w:uiPriority="66" w:semiHidden="0" w:name="Medium List 2 Accent 3"/>
    <w:lsdException w:qFormat="1" w:unhideWhenUsed="0" w:uiPriority="67" w:semiHidden="0" w:name="Medium Grid 1 Accent 3"/>
    <w:lsdException w:qFormat="1" w:unhideWhenUsed="0" w:uiPriority="68" w:semiHidden="0" w:name="Medium Grid 2 Accent 3"/>
    <w:lsdException w:qFormat="1" w:unhideWhenUsed="0" w:uiPriority="69" w:semiHidden="0" w:name="Medium Grid 3 Accent 3"/>
    <w:lsdException w:qFormat="1" w:unhideWhenUsed="0" w:uiPriority="70" w:semiHidden="0" w:name="Dark List Accent 3"/>
    <w:lsdException w:qFormat="1" w:unhideWhenUsed="0" w:uiPriority="71" w:semiHidden="0" w:name="Colorful Shading Accent 3"/>
    <w:lsdException w:qFormat="1" w:unhideWhenUsed="0" w:uiPriority="72" w:semiHidden="0" w:name="Colorful List Accent 3"/>
    <w:lsdException w:qFormat="1" w:unhideWhenUsed="0" w:uiPriority="73" w:semiHidden="0" w:name="Colorful Grid Accent 3"/>
    <w:lsdException w:qFormat="1" w:unhideWhenUsed="0" w:uiPriority="60" w:semiHidden="0" w:name="Light Shading Accent 4"/>
    <w:lsdException w:qFormat="1" w:unhideWhenUsed="0" w:uiPriority="61" w:semiHidden="0" w:name="Light List Accent 4"/>
    <w:lsdException w:qFormat="1" w:unhideWhenUsed="0" w:uiPriority="62" w:semiHidden="0" w:name="Light Grid Accent 4"/>
    <w:lsdException w:qFormat="1" w:unhideWhenUsed="0" w:uiPriority="63" w:semiHidden="0" w:name="Medium Shading 1 Accent 4"/>
    <w:lsdException w:qFormat="1" w:unhideWhenUsed="0" w:uiPriority="64" w:semiHidden="0" w:name="Medium Shading 2 Accent 4"/>
    <w:lsdException w:qFormat="1" w:unhideWhenUsed="0" w:uiPriority="65" w:semiHidden="0" w:name="Medium List 1 Accent 4"/>
    <w:lsdException w:qFormat="1" w:unhideWhenUsed="0" w:uiPriority="66" w:semiHidden="0" w:name="Medium List 2 Accent 4"/>
    <w:lsdException w:qFormat="1" w:unhideWhenUsed="0" w:uiPriority="67" w:semiHidden="0" w:name="Medium Grid 1 Accent 4"/>
    <w:lsdException w:qFormat="1" w:unhideWhenUsed="0" w:uiPriority="68" w:semiHidden="0" w:name="Medium Grid 2 Accent 4"/>
    <w:lsdException w:qFormat="1" w:unhideWhenUsed="0" w:uiPriority="69" w:semiHidden="0" w:name="Medium Grid 3 Accent 4"/>
    <w:lsdException w:qFormat="1" w:unhideWhenUsed="0" w:uiPriority="70" w:semiHidden="0" w:name="Dark List Accent 4"/>
    <w:lsdException w:qFormat="1" w:unhideWhenUsed="0" w:uiPriority="71" w:semiHidden="0" w:name="Colorful Shading Accent 4"/>
    <w:lsdException w:qFormat="1" w:unhideWhenUsed="0" w:uiPriority="72" w:semiHidden="0" w:name="Colorful List Accent 4"/>
    <w:lsdException w:qFormat="1" w:unhideWhenUsed="0" w:uiPriority="73" w:semiHidden="0" w:name="Colorful Grid Accent 4"/>
    <w:lsdException w:qFormat="1" w:unhideWhenUsed="0" w:uiPriority="60" w:semiHidden="0" w:name="Light Shading Accent 5"/>
    <w:lsdException w:qFormat="1" w:unhideWhenUsed="0" w:uiPriority="61" w:semiHidden="0" w:name="Light List Accent 5"/>
    <w:lsdException w:qFormat="1" w:unhideWhenUsed="0" w:uiPriority="62" w:semiHidden="0" w:name="Light Grid Accent 5"/>
    <w:lsdException w:qFormat="1" w:unhideWhenUsed="0" w:uiPriority="63" w:semiHidden="0" w:name="Medium Shading 1 Accent 5"/>
    <w:lsdException w:qFormat="1" w:unhideWhenUsed="0" w:uiPriority="64" w:semiHidden="0" w:name="Medium Shading 2 Accent 5"/>
    <w:lsdException w:qFormat="1" w:unhideWhenUsed="0" w:uiPriority="65" w:semiHidden="0" w:name="Medium List 1 Accent 5"/>
    <w:lsdException w:qFormat="1" w:unhideWhenUsed="0" w:uiPriority="66" w:semiHidden="0" w:name="Medium List 2 Accent 5"/>
    <w:lsdException w:qFormat="1" w:unhideWhenUsed="0" w:uiPriority="67" w:semiHidden="0" w:name="Medium Grid 1 Accent 5"/>
    <w:lsdException w:qFormat="1" w:unhideWhenUsed="0" w:uiPriority="68" w:semiHidden="0" w:name="Medium Grid 2 Accent 5"/>
    <w:lsdException w:qFormat="1" w:unhideWhenUsed="0" w:uiPriority="69" w:semiHidden="0" w:name="Medium Grid 3 Accent 5"/>
    <w:lsdException w:qFormat="1" w:unhideWhenUsed="0" w:uiPriority="70" w:semiHidden="0" w:name="Dark List Accent 5"/>
    <w:lsdException w:qFormat="1" w:unhideWhenUsed="0" w:uiPriority="71" w:semiHidden="0" w:name="Colorful Shading Accent 5"/>
    <w:lsdException w:qFormat="1" w:unhideWhenUsed="0" w:uiPriority="72" w:semiHidden="0" w:name="Colorful List Accent 5"/>
    <w:lsdException w:qFormat="1" w:unhideWhenUsed="0" w:uiPriority="73" w:semiHidden="0" w:name="Colorful Grid Accent 5"/>
    <w:lsdException w:qFormat="1" w:unhideWhenUsed="0" w:uiPriority="60" w:semiHidden="0" w:name="Light Shading Accent 6"/>
    <w:lsdException w:qFormat="1" w:unhideWhenUsed="0" w:uiPriority="61" w:semiHidden="0" w:name="Light List Accent 6"/>
    <w:lsdException w:qFormat="1" w:unhideWhenUsed="0" w:uiPriority="62" w:semiHidden="0" w:name="Light Grid Accent 6"/>
    <w:lsdException w:qFormat="1" w:unhideWhenUsed="0" w:uiPriority="63" w:semiHidden="0" w:name="Medium Shading 1 Accent 6"/>
    <w:lsdException w:qFormat="1" w:unhideWhenUsed="0" w:uiPriority="64" w:semiHidden="0" w:name="Medium Shading 2 Accent 6"/>
    <w:lsdException w:qFormat="1" w:unhideWhenUsed="0" w:uiPriority="65" w:semiHidden="0" w:name="Medium List 1 Accent 6"/>
    <w:lsdException w:qFormat="1" w:unhideWhenUsed="0" w:uiPriority="66" w:semiHidden="0" w:name="Medium List 2 Accent 6"/>
    <w:lsdException w:qFormat="1" w:unhideWhenUsed="0" w:uiPriority="67" w:semiHidden="0" w:name="Medium Grid 1 Accent 6"/>
    <w:lsdException w:qFormat="1" w:unhideWhenUsed="0" w:uiPriority="68" w:semiHidden="0" w:name="Medium Grid 2 Accent 6"/>
    <w:lsdException w:qFormat="1" w:unhideWhenUsed="0" w:uiPriority="69" w:semiHidden="0" w:name="Medium Grid 3 Accent 6"/>
    <w:lsdException w:qFormat="1" w:unhideWhenUsed="0" w:uiPriority="70" w:semiHidden="0" w:name="Dark List Accent 6"/>
    <w:lsdException w:qFormat="1" w:unhideWhenUsed="0" w:uiPriority="71" w:semiHidden="0" w:name="Colorful Shading Accent 6"/>
    <w:lsdException w:qFormat="1" w:unhideWhenUsed="0" w:uiPriority="72" w:semiHidden="0" w:name="Colorful List Accent 6"/>
    <w:lsdException w:qFormat="1" w:unhideWhenUsed="0" w:uiPriority="73" w:semiHidden="0" w:name="Colorful Grid Accent 6"/>
  </w:latentStyles>
  <w:style w:type="paragraph" w:default="1" w:styleId="1">
    <w:name w:val="Normal"/>
    <w:next w:val="2"/>
    <w:qFormat/>
    <w:uiPriority w:val="0"/>
    <w:rPr>
      <w:rFonts w:ascii="微软雅黑" w:hAnsi="微软雅黑" w:eastAsia="微软雅黑" w:cstheme="minorBidi"/>
      <w:sz w:val="22"/>
      <w:szCs w:val="22"/>
      <w:lang w:val="en-US" w:eastAsia="en-US" w:bidi="ar-SA"/>
    </w:rPr>
  </w:style>
  <w:style w:type="paragraph" w:styleId="4">
    <w:name w:val="heading 1"/>
    <w:basedOn w:val="1"/>
    <w:next w:val="1"/>
    <w:link w:val="145"/>
    <w:qFormat/>
    <w:uiPriority w:val="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  <w:style w:type="paragraph" w:styleId="5">
    <w:name w:val="heading 2"/>
    <w:basedOn w:val="1"/>
    <w:next w:val="1"/>
    <w:link w:val="146"/>
    <w:unhideWhenUsed/>
    <w:qFormat/>
    <w:uiPriority w:val="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14:textFill>
        <w14:solidFill>
          <w14:schemeClr w14:val="accent1"/>
        </w14:solidFill>
      </w14:textFill>
    </w:rPr>
  </w:style>
  <w:style w:type="paragraph" w:styleId="6">
    <w:name w:val="heading 3"/>
    <w:basedOn w:val="1"/>
    <w:next w:val="1"/>
    <w:link w:val="147"/>
    <w:unhideWhenUsed/>
    <w:qFormat/>
    <w:uiPriority w:val="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  <w14:textFill>
        <w14:solidFill>
          <w14:schemeClr w14:val="accent1"/>
        </w14:solidFill>
      </w14:textFill>
    </w:rPr>
  </w:style>
  <w:style w:type="paragraph" w:styleId="7">
    <w:name w:val="heading 4"/>
    <w:basedOn w:val="1"/>
    <w:next w:val="1"/>
    <w:link w:val="157"/>
    <w:unhideWhenUsed/>
    <w:qFormat/>
    <w:uiPriority w:val="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paragraph" w:styleId="8">
    <w:name w:val="heading 5"/>
    <w:basedOn w:val="1"/>
    <w:next w:val="1"/>
    <w:link w:val="158"/>
    <w:unhideWhenUsed/>
    <w:qFormat/>
    <w:uiPriority w:val="9"/>
    <w:pPr>
      <w:keepNext/>
      <w:keepLines/>
      <w:spacing w:before="200"/>
      <w:outlineLvl w:val="4"/>
    </w:pPr>
    <w:rPr>
      <w:rFonts w:asciiTheme="majorHAnsi" w:hAnsiTheme="majorHAnsi" w:eastAsiaTheme="majorEastAsia" w:cstheme="majorBidi"/>
      <w:color w:val="254061" w:themeColor="accent1" w:themeShade="80"/>
    </w:rPr>
  </w:style>
  <w:style w:type="paragraph" w:styleId="9">
    <w:name w:val="heading 6"/>
    <w:basedOn w:val="1"/>
    <w:next w:val="1"/>
    <w:link w:val="159"/>
    <w:unhideWhenUsed/>
    <w:qFormat/>
    <w:uiPriority w:val="9"/>
    <w:pPr>
      <w:keepNext/>
      <w:keepLines/>
      <w:spacing w:before="200"/>
      <w:outlineLvl w:val="5"/>
    </w:pPr>
    <w:rPr>
      <w:rFonts w:asciiTheme="majorHAnsi" w:hAnsiTheme="majorHAnsi" w:eastAsiaTheme="majorEastAsia" w:cstheme="majorBidi"/>
      <w:i/>
      <w:iCs/>
      <w:color w:val="254061" w:themeColor="accent1" w:themeShade="80"/>
    </w:rPr>
  </w:style>
  <w:style w:type="paragraph" w:styleId="10">
    <w:name w:val="heading 7"/>
    <w:basedOn w:val="1"/>
    <w:next w:val="1"/>
    <w:link w:val="160"/>
    <w:unhideWhenUsed/>
    <w:qFormat/>
    <w:uiPriority w:val="9"/>
    <w:pPr>
      <w:keepNext/>
      <w:keepLines/>
      <w:spacing w:before="200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styleId="11">
    <w:name w:val="heading 8"/>
    <w:basedOn w:val="1"/>
    <w:next w:val="1"/>
    <w:link w:val="161"/>
    <w:unhideWhenUsed/>
    <w:qFormat/>
    <w:uiPriority w:val="9"/>
    <w:pPr>
      <w:keepNext/>
      <w:keepLines/>
      <w:spacing w:before="200"/>
      <w:outlineLvl w:val="7"/>
    </w:pPr>
    <w:rPr>
      <w:rFonts w:asciiTheme="majorHAnsi" w:hAnsiTheme="majorHAnsi" w:eastAsiaTheme="majorEastAsia" w:cstheme="majorBidi"/>
      <w:color w:val="4F81BD" w:themeColor="accent1"/>
      <w:sz w:val="20"/>
      <w:szCs w:val="20"/>
      <w14:textFill>
        <w14:solidFill>
          <w14:schemeClr w14:val="accent1"/>
        </w14:solidFill>
      </w14:textFill>
    </w:rPr>
  </w:style>
  <w:style w:type="paragraph" w:styleId="12">
    <w:name w:val="heading 9"/>
    <w:basedOn w:val="1"/>
    <w:next w:val="1"/>
    <w:link w:val="162"/>
    <w:unhideWhenUsed/>
    <w:qFormat/>
    <w:uiPriority w:val="9"/>
    <w:pPr>
      <w:keepNext/>
      <w:keepLines/>
      <w:spacing w:before="200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default="1" w:styleId="138">
    <w:name w:val="Default Paragraph Font"/>
    <w:semiHidden/>
    <w:unhideWhenUsed/>
    <w:qFormat/>
    <w:uiPriority w:val="1"/>
  </w:style>
  <w:style w:type="table" w:default="1" w:styleId="3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link w:val="151"/>
    <w:unhideWhenUsed/>
    <w:qFormat/>
    <w:uiPriority w:val="99"/>
    <w:pPr>
      <w:spacing w:after="120"/>
    </w:pPr>
  </w:style>
  <w:style w:type="paragraph" w:styleId="3">
    <w:name w:val="macro"/>
    <w:link w:val="154"/>
    <w:unhideWhenUsed/>
    <w:qFormat/>
    <w:uiPriority w:val="99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  <w:spacing w:after="200" w:line="276" w:lineRule="auto"/>
    </w:pPr>
    <w:rPr>
      <w:rFonts w:ascii="Courier" w:hAnsi="Courier" w:eastAsiaTheme="minorEastAsia" w:cstheme="minorBidi"/>
      <w:lang w:val="en-US" w:eastAsia="en-US" w:bidi="ar-SA"/>
    </w:rPr>
  </w:style>
  <w:style w:type="paragraph" w:styleId="13">
    <w:name w:val="List 3"/>
    <w:basedOn w:val="1"/>
    <w:unhideWhenUsed/>
    <w:qFormat/>
    <w:uiPriority w:val="99"/>
    <w:pPr>
      <w:ind w:left="1080" w:hanging="360"/>
      <w:contextualSpacing/>
    </w:pPr>
  </w:style>
  <w:style w:type="paragraph" w:styleId="14">
    <w:name w:val="List Number 2"/>
    <w:basedOn w:val="1"/>
    <w:unhideWhenUsed/>
    <w:qFormat/>
    <w:uiPriority w:val="99"/>
    <w:pPr>
      <w:numPr>
        <w:ilvl w:val="0"/>
        <w:numId w:val="1"/>
      </w:numPr>
      <w:contextualSpacing/>
    </w:pPr>
  </w:style>
  <w:style w:type="paragraph" w:styleId="15">
    <w:name w:val="List Number"/>
    <w:basedOn w:val="1"/>
    <w:unhideWhenUsed/>
    <w:qFormat/>
    <w:uiPriority w:val="99"/>
    <w:pPr>
      <w:numPr>
        <w:ilvl w:val="0"/>
        <w:numId w:val="2"/>
      </w:numPr>
      <w:contextualSpacing/>
    </w:pPr>
  </w:style>
  <w:style w:type="paragraph" w:styleId="16">
    <w:name w:val="caption"/>
    <w:basedOn w:val="1"/>
    <w:next w:val="1"/>
    <w:unhideWhenUsed/>
    <w:qFormat/>
    <w:uiPriority w:val="35"/>
    <w:rPr>
      <w:b/>
      <w:bCs/>
      <w:color w:val="4F81BD" w:themeColor="accent1"/>
      <w:sz w:val="18"/>
      <w:szCs w:val="18"/>
      <w14:textFill>
        <w14:solidFill>
          <w14:schemeClr w14:val="accent1"/>
        </w14:solidFill>
      </w14:textFill>
    </w:rPr>
  </w:style>
  <w:style w:type="paragraph" w:styleId="17">
    <w:name w:val="List Bullet"/>
    <w:basedOn w:val="1"/>
    <w:unhideWhenUsed/>
    <w:qFormat/>
    <w:uiPriority w:val="99"/>
    <w:pPr>
      <w:numPr>
        <w:ilvl w:val="0"/>
        <w:numId w:val="3"/>
      </w:numPr>
      <w:contextualSpacing/>
    </w:pPr>
  </w:style>
  <w:style w:type="paragraph" w:styleId="18">
    <w:name w:val="annotation text"/>
    <w:basedOn w:val="1"/>
    <w:unhideWhenUsed/>
    <w:qFormat/>
    <w:uiPriority w:val="99"/>
  </w:style>
  <w:style w:type="paragraph" w:styleId="19">
    <w:name w:val="Body Text 3"/>
    <w:basedOn w:val="1"/>
    <w:link w:val="153"/>
    <w:unhideWhenUsed/>
    <w:qFormat/>
    <w:uiPriority w:val="99"/>
    <w:pPr>
      <w:spacing w:after="120"/>
    </w:pPr>
    <w:rPr>
      <w:sz w:val="16"/>
      <w:szCs w:val="16"/>
    </w:rPr>
  </w:style>
  <w:style w:type="paragraph" w:styleId="20">
    <w:name w:val="List Bullet 3"/>
    <w:basedOn w:val="1"/>
    <w:unhideWhenUsed/>
    <w:qFormat/>
    <w:uiPriority w:val="99"/>
    <w:pPr>
      <w:numPr>
        <w:ilvl w:val="0"/>
        <w:numId w:val="4"/>
      </w:numPr>
      <w:contextualSpacing/>
    </w:pPr>
  </w:style>
  <w:style w:type="paragraph" w:styleId="21">
    <w:name w:val="Body Text Indent"/>
    <w:basedOn w:val="1"/>
    <w:qFormat/>
    <w:uiPriority w:val="0"/>
    <w:pPr>
      <w:ind w:firstLine="560"/>
    </w:pPr>
    <w:rPr>
      <w:sz w:val="28"/>
    </w:rPr>
  </w:style>
  <w:style w:type="paragraph" w:styleId="22">
    <w:name w:val="List Number 3"/>
    <w:basedOn w:val="1"/>
    <w:unhideWhenUsed/>
    <w:qFormat/>
    <w:uiPriority w:val="99"/>
    <w:pPr>
      <w:numPr>
        <w:ilvl w:val="0"/>
        <w:numId w:val="5"/>
      </w:numPr>
      <w:contextualSpacing/>
    </w:pPr>
  </w:style>
  <w:style w:type="paragraph" w:styleId="23">
    <w:name w:val="List 2"/>
    <w:basedOn w:val="1"/>
    <w:unhideWhenUsed/>
    <w:qFormat/>
    <w:uiPriority w:val="99"/>
    <w:pPr>
      <w:ind w:left="720" w:hanging="360"/>
      <w:contextualSpacing/>
    </w:pPr>
  </w:style>
  <w:style w:type="paragraph" w:styleId="24">
    <w:name w:val="List Continue"/>
    <w:basedOn w:val="1"/>
    <w:unhideWhenUsed/>
    <w:qFormat/>
    <w:uiPriority w:val="99"/>
    <w:pPr>
      <w:spacing w:after="120"/>
      <w:ind w:left="360"/>
      <w:contextualSpacing/>
    </w:pPr>
  </w:style>
  <w:style w:type="paragraph" w:styleId="25">
    <w:name w:val="List Bullet 2"/>
    <w:basedOn w:val="1"/>
    <w:unhideWhenUsed/>
    <w:qFormat/>
    <w:uiPriority w:val="99"/>
    <w:pPr>
      <w:numPr>
        <w:ilvl w:val="0"/>
        <w:numId w:val="6"/>
      </w:numPr>
      <w:contextualSpacing/>
    </w:pPr>
  </w:style>
  <w:style w:type="paragraph" w:styleId="26">
    <w:name w:val="footer"/>
    <w:basedOn w:val="1"/>
    <w:link w:val="143"/>
    <w:unhideWhenUsed/>
    <w:qFormat/>
    <w:uiPriority w:val="99"/>
    <w:pPr>
      <w:tabs>
        <w:tab w:val="center" w:pos="4680"/>
        <w:tab w:val="right" w:pos="9360"/>
      </w:tabs>
    </w:pPr>
  </w:style>
  <w:style w:type="paragraph" w:styleId="27">
    <w:name w:val="header"/>
    <w:basedOn w:val="1"/>
    <w:link w:val="142"/>
    <w:unhideWhenUsed/>
    <w:qFormat/>
    <w:uiPriority w:val="99"/>
    <w:pPr>
      <w:tabs>
        <w:tab w:val="center" w:pos="4680"/>
        <w:tab w:val="right" w:pos="9360"/>
      </w:tabs>
    </w:pPr>
  </w:style>
  <w:style w:type="paragraph" w:styleId="28">
    <w:name w:val="toc 1"/>
    <w:basedOn w:val="1"/>
    <w:next w:val="1"/>
    <w:qFormat/>
    <w:uiPriority w:val="1"/>
    <w:pPr>
      <w:spacing w:before="252"/>
      <w:ind w:left="126"/>
    </w:pPr>
    <w:rPr>
      <w:rFonts w:ascii="黑体" w:hAnsi="黑体" w:eastAsia="黑体" w:cs="黑体"/>
      <w:sz w:val="24"/>
      <w:szCs w:val="24"/>
      <w:lang w:val="zh-CN" w:eastAsia="zh-CN" w:bidi="zh-CN"/>
    </w:rPr>
  </w:style>
  <w:style w:type="paragraph" w:styleId="29">
    <w:name w:val="Subtitle"/>
    <w:basedOn w:val="1"/>
    <w:next w:val="1"/>
    <w:link w:val="149"/>
    <w:qFormat/>
    <w:uiPriority w:val="11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  <w14:textFill>
        <w14:solidFill>
          <w14:schemeClr w14:val="accent1"/>
        </w14:solidFill>
      </w14:textFill>
    </w:rPr>
  </w:style>
  <w:style w:type="paragraph" w:styleId="30">
    <w:name w:val="List"/>
    <w:basedOn w:val="1"/>
    <w:unhideWhenUsed/>
    <w:qFormat/>
    <w:uiPriority w:val="99"/>
    <w:pPr>
      <w:ind w:left="360" w:hanging="360"/>
      <w:contextualSpacing/>
    </w:pPr>
  </w:style>
  <w:style w:type="paragraph" w:styleId="31">
    <w:name w:val="toc 2"/>
    <w:basedOn w:val="1"/>
    <w:next w:val="1"/>
    <w:qFormat/>
    <w:uiPriority w:val="1"/>
    <w:pPr>
      <w:spacing w:before="251"/>
      <w:ind w:left="546"/>
    </w:pPr>
    <w:rPr>
      <w:rFonts w:ascii="楷体" w:hAnsi="楷体" w:eastAsia="楷体" w:cs="楷体"/>
      <w:sz w:val="24"/>
      <w:szCs w:val="24"/>
      <w:lang w:val="zh-CN" w:eastAsia="zh-CN" w:bidi="zh-CN"/>
    </w:rPr>
  </w:style>
  <w:style w:type="paragraph" w:styleId="32">
    <w:name w:val="Body Text 2"/>
    <w:basedOn w:val="1"/>
    <w:link w:val="152"/>
    <w:unhideWhenUsed/>
    <w:qFormat/>
    <w:uiPriority w:val="99"/>
    <w:pPr>
      <w:spacing w:after="120" w:line="480" w:lineRule="auto"/>
    </w:pPr>
  </w:style>
  <w:style w:type="paragraph" w:styleId="33">
    <w:name w:val="List Continue 2"/>
    <w:basedOn w:val="1"/>
    <w:unhideWhenUsed/>
    <w:qFormat/>
    <w:uiPriority w:val="99"/>
    <w:pPr>
      <w:spacing w:after="120"/>
      <w:ind w:left="720"/>
      <w:contextualSpacing/>
    </w:pPr>
  </w:style>
  <w:style w:type="paragraph" w:styleId="34">
    <w:name w:val="Normal (Web)"/>
    <w:basedOn w:val="1"/>
    <w:unhideWhenUsed/>
    <w:qFormat/>
    <w:uiPriority w:val="99"/>
    <w:pPr>
      <w:spacing w:beforeAutospacing="1" w:afterAutospacing="1"/>
    </w:pPr>
    <w:rPr>
      <w:rFonts w:cs="Times New Roman"/>
      <w:sz w:val="24"/>
      <w:lang w:eastAsia="zh-CN"/>
    </w:rPr>
  </w:style>
  <w:style w:type="paragraph" w:styleId="35">
    <w:name w:val="List Continue 3"/>
    <w:basedOn w:val="1"/>
    <w:unhideWhenUsed/>
    <w:qFormat/>
    <w:uiPriority w:val="99"/>
    <w:pPr>
      <w:spacing w:after="120"/>
      <w:ind w:left="1080"/>
      <w:contextualSpacing/>
    </w:pPr>
  </w:style>
  <w:style w:type="paragraph" w:styleId="36">
    <w:name w:val="Title"/>
    <w:basedOn w:val="1"/>
    <w:next w:val="1"/>
    <w:link w:val="148"/>
    <w:qFormat/>
    <w:uiPriority w:val="10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75E" w:themeColor="text2" w:themeShade="BF"/>
      <w:spacing w:val="5"/>
      <w:kern w:val="28"/>
      <w:sz w:val="52"/>
      <w:szCs w:val="52"/>
    </w:rPr>
  </w:style>
  <w:style w:type="paragraph" w:styleId="37">
    <w:name w:val="Body Text First Indent 2"/>
    <w:basedOn w:val="21"/>
    <w:qFormat/>
    <w:uiPriority w:val="0"/>
    <w:pPr>
      <w:ind w:firstLine="420" w:firstLineChars="200"/>
    </w:pPr>
  </w:style>
  <w:style w:type="table" w:styleId="39">
    <w:name w:val="Table Grid"/>
    <w:basedOn w:val="3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40">
    <w:name w:val="Light Shading"/>
    <w:basedOn w:val="38"/>
    <w:qFormat/>
    <w:uiPriority w:val="60"/>
    <w:rPr>
      <w:color w:val="000000" w:themeColor="text1" w:themeShade="BF"/>
    </w:rPr>
    <w:tblPr>
      <w:tblBorders>
        <w:top w:val="single" w:color="000000" w:themeColor="text1" w:sz="8" w:space="0"/>
        <w:bottom w:val="single" w:color="000000" w:themeColor="tex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000000" w:themeColor="text1" w:sz="8" w:space="0"/>
          <w:left w:val="nil"/>
          <w:bottom w:val="single" w:color="000000" w:themeColor="tex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FBFBF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FBFBF" w:themeFill="text1" w:themeFillTint="3F"/>
      </w:tcPr>
    </w:tblStylePr>
  </w:style>
  <w:style w:type="table" w:styleId="41">
    <w:name w:val="Light Shading Accent 1"/>
    <w:basedOn w:val="38"/>
    <w:qFormat/>
    <w:uiPriority w:val="60"/>
    <w:rPr>
      <w:color w:val="376092" w:themeColor="accent1" w:themeShade="BF"/>
    </w:rPr>
    <w:tblPr>
      <w:tblBorders>
        <w:top w:val="single" w:color="4F81BD" w:themeColor="accent1" w:sz="8" w:space="0"/>
        <w:bottom w:val="single" w:color="4F81BD" w:themeColor="accen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themeColor="accent1" w:sz="8" w:space="0"/>
          <w:left w:val="nil"/>
          <w:bottom w:val="single" w:color="4F81BD" w:themeColor="accen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themeColor="accent1" w:sz="8" w:space="0"/>
          <w:left w:val="nil"/>
          <w:bottom w:val="single" w:color="4F81BD" w:themeColor="accen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42">
    <w:name w:val="Light Shading Accent 2"/>
    <w:basedOn w:val="38"/>
    <w:qFormat/>
    <w:uiPriority w:val="60"/>
    <w:rPr>
      <w:color w:val="953735" w:themeColor="accent2" w:themeShade="BF"/>
    </w:rPr>
    <w:tblPr>
      <w:tblBorders>
        <w:top w:val="single" w:color="C0504D" w:themeColor="accent2" w:sz="8" w:space="0"/>
        <w:bottom w:val="single" w:color="C0504D" w:themeColor="accent2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C0504D" w:themeColor="accent2" w:sz="8" w:space="0"/>
          <w:left w:val="nil"/>
          <w:bottom w:val="single" w:color="C0504D" w:themeColor="accent2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C0504D" w:themeColor="accent2" w:sz="8" w:space="0"/>
          <w:left w:val="nil"/>
          <w:bottom w:val="single" w:color="C0504D" w:themeColor="accent2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3" w:themeFill="accent2" w:themeFillTint="3F"/>
      </w:tcPr>
    </w:tblStylePr>
  </w:style>
  <w:style w:type="table" w:styleId="43">
    <w:name w:val="Light Shading Accent 3"/>
    <w:basedOn w:val="38"/>
    <w:qFormat/>
    <w:uiPriority w:val="60"/>
    <w:rPr>
      <w:color w:val="77933C" w:themeColor="accent3" w:themeShade="BF"/>
    </w:rPr>
    <w:tblPr>
      <w:tblBorders>
        <w:top w:val="single" w:color="9BBB59" w:themeColor="accent3" w:sz="8" w:space="0"/>
        <w:bottom w:val="single" w:color="9BBB59" w:themeColor="accent3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9BBB59" w:themeColor="accent3" w:sz="8" w:space="0"/>
          <w:left w:val="nil"/>
          <w:bottom w:val="single" w:color="9BBB59" w:themeColor="accent3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9BBB59" w:themeColor="accent3" w:sz="8" w:space="0"/>
          <w:left w:val="nil"/>
          <w:bottom w:val="single" w:color="9BBB59" w:themeColor="accent3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44">
    <w:name w:val="Light Shading Accent 4"/>
    <w:basedOn w:val="38"/>
    <w:qFormat/>
    <w:uiPriority w:val="60"/>
    <w:rPr>
      <w:color w:val="604A7B" w:themeColor="accent4" w:themeShade="BF"/>
    </w:rPr>
    <w:tblPr>
      <w:tblBorders>
        <w:top w:val="single" w:color="8064A2" w:themeColor="accent4" w:sz="8" w:space="0"/>
        <w:bottom w:val="single" w:color="8064A2" w:themeColor="accent4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themeColor="accent4" w:sz="8" w:space="0"/>
          <w:left w:val="nil"/>
          <w:bottom w:val="single" w:color="8064A2" w:themeColor="accent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8064A2" w:themeColor="accent4" w:sz="8" w:space="0"/>
          <w:left w:val="nil"/>
          <w:bottom w:val="single" w:color="8064A2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45">
    <w:name w:val="Light Shading Accent 5"/>
    <w:basedOn w:val="38"/>
    <w:qFormat/>
    <w:uiPriority w:val="60"/>
    <w:rPr>
      <w:color w:val="31859C" w:themeColor="accent5" w:themeShade="BF"/>
    </w:rPr>
    <w:tblPr>
      <w:tblBorders>
        <w:top w:val="single" w:color="4BACC6" w:themeColor="accent5" w:sz="8" w:space="0"/>
        <w:bottom w:val="single" w:color="4BACC6" w:themeColor="accent5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BACC6" w:themeColor="accent5" w:sz="8" w:space="0"/>
          <w:left w:val="nil"/>
          <w:bottom w:val="single" w:color="4BACC6" w:themeColor="accent5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BACC6" w:themeColor="accent5" w:sz="8" w:space="0"/>
          <w:left w:val="nil"/>
          <w:bottom w:val="single" w:color="4BACC6" w:themeColor="accent5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0" w:themeFill="accent5" w:themeFillTint="3F"/>
      </w:tcPr>
    </w:tblStylePr>
  </w:style>
  <w:style w:type="table" w:styleId="46">
    <w:name w:val="Light Shading Accent 6"/>
    <w:basedOn w:val="38"/>
    <w:qFormat/>
    <w:uiPriority w:val="60"/>
    <w:rPr>
      <w:color w:val="E46C0A" w:themeColor="accent6" w:themeShade="BF"/>
    </w:rPr>
    <w:tblPr>
      <w:tblBorders>
        <w:top w:val="single" w:color="F79646" w:themeColor="accent6" w:sz="8" w:space="0"/>
        <w:bottom w:val="single" w:color="F79646" w:themeColor="accent6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F79646" w:themeColor="accent6" w:sz="8" w:space="0"/>
          <w:left w:val="nil"/>
          <w:bottom w:val="single" w:color="F79646" w:themeColor="accent6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F79646" w:themeColor="accent6" w:sz="8" w:space="0"/>
          <w:left w:val="nil"/>
          <w:bottom w:val="single" w:color="F79646" w:themeColor="accent6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5D1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5D1" w:themeFill="accent6" w:themeFillTint="3F"/>
      </w:tcPr>
    </w:tblStylePr>
  </w:style>
  <w:style w:type="table" w:styleId="47">
    <w:name w:val="Light List"/>
    <w:basedOn w:val="38"/>
    <w:qFormat/>
    <w:uiPriority w:val="61"/>
    <w:tblPr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</w:style>
  <w:style w:type="table" w:styleId="48">
    <w:name w:val="Light List Accent 1"/>
    <w:basedOn w:val="38"/>
    <w:qFormat/>
    <w:uiPriority w:val="61"/>
    <w:tblPr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F81BD" w:themeColor="accent1" w:sz="6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band1Horz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</w:style>
  <w:style w:type="table" w:styleId="49">
    <w:name w:val="Light List Accent 2"/>
    <w:basedOn w:val="38"/>
    <w:qFormat/>
    <w:uiPriority w:val="61"/>
    <w:tblPr>
      <w:tblBorders>
        <w:top w:val="single" w:color="C0504D" w:themeColor="accent2" w:sz="8" w:space="0"/>
        <w:left w:val="single" w:color="C0504D" w:themeColor="accent2" w:sz="8" w:space="0"/>
        <w:bottom w:val="single" w:color="C0504D" w:themeColor="accent2" w:sz="8" w:space="0"/>
        <w:right w:val="single" w:color="C0504D" w:themeColor="accent2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0504D" w:themeColor="accent2" w:sz="6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  <w:tblStylePr w:type="band1Horz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</w:style>
  <w:style w:type="table" w:styleId="50">
    <w:name w:val="Light List Accent 3"/>
    <w:basedOn w:val="38"/>
    <w:qFormat/>
    <w:uiPriority w:val="61"/>
    <w:tblPr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BBB59" w:themeColor="accent3" w:sz="6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band1Horz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</w:style>
  <w:style w:type="table" w:styleId="51">
    <w:name w:val="Light List Accent 4"/>
    <w:basedOn w:val="38"/>
    <w:qFormat/>
    <w:uiPriority w:val="61"/>
    <w:tblPr>
      <w:tblBorders>
        <w:top w:val="single" w:color="8064A2" w:themeColor="accent4" w:sz="8" w:space="0"/>
        <w:left w:val="single" w:color="8064A2" w:themeColor="accent4" w:sz="8" w:space="0"/>
        <w:bottom w:val="single" w:color="8064A2" w:themeColor="accent4" w:sz="8" w:space="0"/>
        <w:right w:val="single" w:color="8064A2" w:themeColor="accent4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8064A2" w:themeColor="accent4" w:sz="6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</w:tcPr>
    </w:tblStylePr>
    <w:tblStylePr w:type="band1Horz"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</w:tcPr>
    </w:tblStylePr>
  </w:style>
  <w:style w:type="table" w:styleId="52">
    <w:name w:val="Light List Accent 5"/>
    <w:basedOn w:val="38"/>
    <w:qFormat/>
    <w:uiPriority w:val="61"/>
    <w:tblPr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4BACC6" w:themeColor="accent5" w:sz="6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  <w:tblStylePr w:type="band1Horz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</w:style>
  <w:style w:type="table" w:styleId="53">
    <w:name w:val="Light List Accent 6"/>
    <w:basedOn w:val="38"/>
    <w:qFormat/>
    <w:uiPriority w:val="61"/>
    <w:tblPr>
      <w:tblBorders>
        <w:top w:val="single" w:color="F79646" w:themeColor="accent6" w:sz="8" w:space="0"/>
        <w:left w:val="single" w:color="F79646" w:themeColor="accent6" w:sz="8" w:space="0"/>
        <w:bottom w:val="single" w:color="F79646" w:themeColor="accent6" w:sz="8" w:space="0"/>
        <w:right w:val="single" w:color="F79646" w:themeColor="accent6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79646" w:themeColor="accent6" w:sz="6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</w:tcPr>
    </w:tblStylePr>
    <w:tblStylePr w:type="band1Horz"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</w:tcPr>
    </w:tblStylePr>
  </w:style>
  <w:style w:type="table" w:styleId="54">
    <w:name w:val="Light Grid"/>
    <w:basedOn w:val="38"/>
    <w:qFormat/>
    <w:uiPriority w:val="62"/>
    <w:tblPr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18" w:space="0"/>
          <w:right w:val="single" w:color="000000" w:themeColor="text1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  <w:shd w:val="clear" w:color="auto" w:fill="BFBFBF" w:themeFill="text1" w:themeFillTint="3F"/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sz="8" w:space="0"/>
        </w:tcBorders>
        <w:shd w:val="clear" w:color="auto" w:fill="BFBFBF" w:themeFill="text1" w:themeFillTint="3F"/>
      </w:tcPr>
    </w:tblStylePr>
    <w:tblStylePr w:type="band2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  <w:insideV w:val="single" w:sz="8" w:space="0"/>
        </w:tcBorders>
      </w:tcPr>
    </w:tblStylePr>
  </w:style>
  <w:style w:type="table" w:styleId="55">
    <w:name w:val="Light Grid Accent 1"/>
    <w:basedOn w:val="38"/>
    <w:qFormat/>
    <w:uiPriority w:val="62"/>
    <w:tblPr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  <w:insideH w:val="single" w:color="4F81BD" w:themeColor="accent1" w:sz="8" w:space="0"/>
        <w:insideV w:val="single" w:color="4F81BD" w:themeColor="accen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18" w:space="0"/>
          <w:right w:val="single" w:color="4F81BD" w:themeColor="accent1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4F81BD" w:themeColor="accent1" w:sz="6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</w:tcPr>
    </w:tblStylePr>
    <w:tblStylePr w:type="band1Vert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V w:val="single" w:sz="8" w:space="0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color="4F81BD" w:themeColor="accent1" w:sz="8" w:space="0"/>
          <w:left w:val="single" w:color="4F81BD" w:themeColor="accent1" w:sz="8" w:space="0"/>
          <w:bottom w:val="single" w:color="4F81BD" w:themeColor="accent1" w:sz="8" w:space="0"/>
          <w:right w:val="single" w:color="4F81BD" w:themeColor="accent1" w:sz="8" w:space="0"/>
          <w:insideV w:val="single" w:sz="8" w:space="0"/>
        </w:tcBorders>
      </w:tcPr>
    </w:tblStylePr>
  </w:style>
  <w:style w:type="table" w:styleId="56">
    <w:name w:val="Light Grid Accent 2"/>
    <w:basedOn w:val="38"/>
    <w:qFormat/>
    <w:uiPriority w:val="62"/>
    <w:tblPr>
      <w:tblBorders>
        <w:top w:val="single" w:color="C0504D" w:themeColor="accent2" w:sz="8" w:space="0"/>
        <w:left w:val="single" w:color="C0504D" w:themeColor="accent2" w:sz="8" w:space="0"/>
        <w:bottom w:val="single" w:color="C0504D" w:themeColor="accent2" w:sz="8" w:space="0"/>
        <w:right w:val="single" w:color="C0504D" w:themeColor="accent2" w:sz="8" w:space="0"/>
        <w:insideH w:val="single" w:color="C0504D" w:themeColor="accent2" w:sz="8" w:space="0"/>
        <w:insideV w:val="single" w:color="C0504D" w:themeColor="accent2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18" w:space="0"/>
          <w:right w:val="single" w:color="C0504D" w:themeColor="accent2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C0504D" w:themeColor="accent2" w:sz="6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</w:tcPr>
    </w:tblStylePr>
    <w:tblStylePr w:type="band1Vert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</w:tcBorders>
        <w:shd w:val="clear" w:color="auto" w:fill="EFD3D3" w:themeFill="accent2" w:themeFillTint="3F"/>
      </w:tcPr>
    </w:tblStylePr>
    <w:tblStylePr w:type="band1Horz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  <w:insideV w:val="single" w:sz="8" w:space="0"/>
        </w:tcBorders>
        <w:shd w:val="clear" w:color="auto" w:fill="EFD3D3" w:themeFill="accent2" w:themeFillTint="3F"/>
      </w:tcPr>
    </w:tblStylePr>
    <w:tblStylePr w:type="band2Horz">
      <w:tblPr/>
      <w:tcPr>
        <w:tcBorders>
          <w:top w:val="single" w:color="C0504D" w:themeColor="accent2" w:sz="8" w:space="0"/>
          <w:left w:val="single" w:color="C0504D" w:themeColor="accent2" w:sz="8" w:space="0"/>
          <w:bottom w:val="single" w:color="C0504D" w:themeColor="accent2" w:sz="8" w:space="0"/>
          <w:right w:val="single" w:color="C0504D" w:themeColor="accent2" w:sz="8" w:space="0"/>
          <w:insideV w:val="single" w:sz="8" w:space="0"/>
        </w:tcBorders>
      </w:tcPr>
    </w:tblStylePr>
  </w:style>
  <w:style w:type="table" w:styleId="57">
    <w:name w:val="Light Grid Accent 3"/>
    <w:basedOn w:val="38"/>
    <w:qFormat/>
    <w:uiPriority w:val="62"/>
    <w:tblPr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  <w:insideH w:val="single" w:color="9BBB59" w:themeColor="accent3" w:sz="8" w:space="0"/>
        <w:insideV w:val="single" w:color="9BBB59" w:themeColor="accent3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18" w:space="0"/>
          <w:right w:val="single" w:color="9BBB59" w:themeColor="accent3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9BBB59" w:themeColor="accent3" w:sz="6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band1Vert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  <w:insideV w:val="single" w:sz="8" w:space="0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  <w:insideV w:val="single" w:sz="8" w:space="0"/>
        </w:tcBorders>
      </w:tcPr>
    </w:tblStylePr>
  </w:style>
  <w:style w:type="table" w:styleId="58">
    <w:name w:val="Light Grid Accent 4"/>
    <w:basedOn w:val="38"/>
    <w:qFormat/>
    <w:uiPriority w:val="62"/>
    <w:tblPr>
      <w:tblBorders>
        <w:top w:val="single" w:color="8064A2" w:themeColor="accent4" w:sz="8" w:space="0"/>
        <w:left w:val="single" w:color="8064A2" w:themeColor="accent4" w:sz="8" w:space="0"/>
        <w:bottom w:val="single" w:color="8064A2" w:themeColor="accent4" w:sz="8" w:space="0"/>
        <w:right w:val="single" w:color="8064A2" w:themeColor="accent4" w:sz="8" w:space="0"/>
        <w:insideH w:val="single" w:color="8064A2" w:themeColor="accent4" w:sz="8" w:space="0"/>
        <w:insideV w:val="single" w:color="8064A2" w:themeColor="accent4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18" w:space="0"/>
          <w:right w:val="single" w:color="8064A2" w:themeColor="accent4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8064A2" w:themeColor="accent4" w:sz="6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</w:tcPr>
    </w:tblStylePr>
    <w:tblStylePr w:type="band1Vert"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  <w:insideV w:val="single" w:sz="8" w:space="0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color="8064A2" w:themeColor="accent4" w:sz="8" w:space="0"/>
          <w:left w:val="single" w:color="8064A2" w:themeColor="accent4" w:sz="8" w:space="0"/>
          <w:bottom w:val="single" w:color="8064A2" w:themeColor="accent4" w:sz="8" w:space="0"/>
          <w:right w:val="single" w:color="8064A2" w:themeColor="accent4" w:sz="8" w:space="0"/>
          <w:insideV w:val="single" w:sz="8" w:space="0"/>
        </w:tcBorders>
      </w:tcPr>
    </w:tblStylePr>
  </w:style>
  <w:style w:type="table" w:styleId="59">
    <w:name w:val="Light Grid Accent 5"/>
    <w:basedOn w:val="38"/>
    <w:qFormat/>
    <w:uiPriority w:val="62"/>
    <w:tblPr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  <w:insideH w:val="single" w:color="4BACC6" w:themeColor="accent5" w:sz="8" w:space="0"/>
        <w:insideV w:val="single" w:color="4BACC6" w:themeColor="accent5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18" w:space="0"/>
          <w:right w:val="single" w:color="4BACC6" w:themeColor="accent5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4BACC6" w:themeColor="accent5" w:sz="6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</w:tcPr>
    </w:tblStylePr>
    <w:tblStylePr w:type="band1Vert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</w:tcBorders>
        <w:shd w:val="clear" w:color="auto" w:fill="D2EAF0" w:themeFill="accent5" w:themeFillTint="3F"/>
      </w:tcPr>
    </w:tblStylePr>
    <w:tblStylePr w:type="band1Horz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  <w:insideV w:val="single" w:sz="8" w:space="0"/>
        </w:tcBorders>
        <w:shd w:val="clear" w:color="auto" w:fill="D2EAF0" w:themeFill="accent5" w:themeFillTint="3F"/>
      </w:tcPr>
    </w:tblStylePr>
    <w:tblStylePr w:type="band2Horz">
      <w:tblPr/>
      <w:tcPr>
        <w:tcBorders>
          <w:top w:val="single" w:color="4BACC6" w:themeColor="accent5" w:sz="8" w:space="0"/>
          <w:left w:val="single" w:color="4BACC6" w:themeColor="accent5" w:sz="8" w:space="0"/>
          <w:bottom w:val="single" w:color="4BACC6" w:themeColor="accent5" w:sz="8" w:space="0"/>
          <w:right w:val="single" w:color="4BACC6" w:themeColor="accent5" w:sz="8" w:space="0"/>
          <w:insideV w:val="single" w:sz="8" w:space="0"/>
        </w:tcBorders>
      </w:tcPr>
    </w:tblStylePr>
  </w:style>
  <w:style w:type="table" w:styleId="60">
    <w:name w:val="Light Grid Accent 6"/>
    <w:basedOn w:val="38"/>
    <w:qFormat/>
    <w:uiPriority w:val="62"/>
    <w:tblPr>
      <w:tblBorders>
        <w:top w:val="single" w:color="F79646" w:themeColor="accent6" w:sz="8" w:space="0"/>
        <w:left w:val="single" w:color="F79646" w:themeColor="accent6" w:sz="8" w:space="0"/>
        <w:bottom w:val="single" w:color="F79646" w:themeColor="accent6" w:sz="8" w:space="0"/>
        <w:right w:val="single" w:color="F79646" w:themeColor="accent6" w:sz="8" w:space="0"/>
        <w:insideH w:val="single" w:color="F79646" w:themeColor="accent6" w:sz="8" w:space="0"/>
        <w:insideV w:val="single" w:color="F79646" w:themeColor="accent6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18" w:space="0"/>
          <w:right w:val="single" w:color="F79646" w:themeColor="accent6" w:sz="8" w:space="0"/>
          <w:insideH w:val="nil"/>
          <w:insideV w:val="single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F79646" w:themeColor="accent6" w:sz="6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  <w:insideH w:val="nil"/>
          <w:insideV w:val="single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</w:tcPr>
    </w:tblStylePr>
    <w:tblStylePr w:type="band1Vert"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</w:tcBorders>
        <w:shd w:val="clear" w:color="auto" w:fill="FDE5D1" w:themeFill="accent6" w:themeFillTint="3F"/>
      </w:tcPr>
    </w:tblStylePr>
    <w:tblStylePr w:type="band1Horz"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  <w:insideV w:val="single" w:sz="8" w:space="0"/>
        </w:tcBorders>
        <w:shd w:val="clear" w:color="auto" w:fill="FDE5D1" w:themeFill="accent6" w:themeFillTint="3F"/>
      </w:tcPr>
    </w:tblStylePr>
    <w:tblStylePr w:type="band2Horz">
      <w:tblPr/>
      <w:tcPr>
        <w:tcBorders>
          <w:top w:val="single" w:color="F79646" w:themeColor="accent6" w:sz="8" w:space="0"/>
          <w:left w:val="single" w:color="F79646" w:themeColor="accent6" w:sz="8" w:space="0"/>
          <w:bottom w:val="single" w:color="F79646" w:themeColor="accent6" w:sz="8" w:space="0"/>
          <w:right w:val="single" w:color="F79646" w:themeColor="accent6" w:sz="8" w:space="0"/>
          <w:insideV w:val="single" w:sz="8" w:space="0"/>
        </w:tcBorders>
      </w:tcPr>
    </w:tblStylePr>
  </w:style>
  <w:style w:type="table" w:styleId="61">
    <w:name w:val="Medium Shading 1"/>
    <w:basedOn w:val="38"/>
    <w:qFormat/>
    <w:uiPriority w:val="63"/>
    <w:tblPr>
      <w:tblBorders>
        <w:top w:val="single" w:color="3F3F3F" w:themeColor="text1" w:themeTint="BF" w:sz="8" w:space="0"/>
        <w:left w:val="single" w:color="3F3F3F" w:themeColor="text1" w:themeTint="BF" w:sz="8" w:space="0"/>
        <w:bottom w:val="single" w:color="3F3F3F" w:themeColor="text1" w:themeTint="BF" w:sz="8" w:space="0"/>
        <w:right w:val="single" w:color="3F3F3F" w:themeColor="text1" w:themeTint="BF" w:sz="8" w:space="0"/>
        <w:insideH w:val="single" w:color="3F3F3F" w:themeColor="text1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3F3F3F" w:themeColor="text1" w:themeTint="BF" w:sz="8" w:space="0"/>
          <w:left w:val="single" w:color="3F3F3F" w:themeColor="text1" w:themeTint="BF" w:sz="8" w:space="0"/>
          <w:bottom w:val="single" w:color="3F3F3F" w:themeColor="text1" w:themeTint="BF" w:sz="8" w:space="0"/>
          <w:right w:val="single" w:color="3F3F3F" w:themeColor="text1" w:themeTint="BF" w:sz="8" w:space="0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3F3F3F" w:themeColor="text1" w:themeTint="BF" w:sz="6" w:space="0"/>
          <w:left w:val="single" w:color="3F3F3F" w:themeColor="text1" w:themeTint="BF" w:sz="8" w:space="0"/>
          <w:bottom w:val="single" w:color="3F3F3F" w:themeColor="text1" w:themeTint="BF" w:sz="8" w:space="0"/>
          <w:right w:val="single" w:color="3F3F3F" w:themeColor="tex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FBF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FBFBF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62">
    <w:name w:val="Medium Shading 1 Accent 1"/>
    <w:basedOn w:val="38"/>
    <w:qFormat/>
    <w:uiPriority w:val="63"/>
    <w:tblPr>
      <w:tblBorders>
        <w:top w:val="single" w:color="7BA0CD" w:themeColor="accent1" w:themeTint="BF" w:sz="8" w:space="0"/>
        <w:left w:val="single" w:color="7BA0CD" w:themeColor="accent1" w:themeTint="BF" w:sz="8" w:space="0"/>
        <w:bottom w:val="single" w:color="7BA0CD" w:themeColor="accent1" w:themeTint="BF" w:sz="8" w:space="0"/>
        <w:right w:val="single" w:color="7BA0CD" w:themeColor="accent1" w:themeTint="BF" w:sz="8" w:space="0"/>
        <w:insideH w:val="single" w:color="7BA0CD" w:themeColor="accent1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7BA0CD" w:themeColor="accent1" w:themeTint="BF" w:sz="8" w:space="0"/>
          <w:left w:val="single" w:color="7BA0CD" w:themeColor="accent1" w:themeTint="BF" w:sz="8" w:space="0"/>
          <w:bottom w:val="single" w:color="7BA0CD" w:themeColor="accent1" w:themeTint="BF" w:sz="8" w:space="0"/>
          <w:right w:val="single" w:color="7BA0CD" w:themeColor="accent1" w:themeTint="BF" w:sz="8" w:space="0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BA0CD" w:themeColor="accent1" w:themeTint="BF" w:sz="6" w:space="0"/>
          <w:left w:val="single" w:color="7BA0CD" w:themeColor="accent1" w:themeTint="BF" w:sz="8" w:space="0"/>
          <w:bottom w:val="single" w:color="7BA0CD" w:themeColor="accent1" w:themeTint="BF" w:sz="8" w:space="0"/>
          <w:right w:val="single" w:color="7BA0CD" w:themeColor="accent1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63">
    <w:name w:val="Medium Shading 1 Accent 2"/>
    <w:basedOn w:val="38"/>
    <w:qFormat/>
    <w:uiPriority w:val="63"/>
    <w:tblPr>
      <w:tblBorders>
        <w:top w:val="single" w:color="CF7B79" w:themeColor="accent2" w:themeTint="BF" w:sz="8" w:space="0"/>
        <w:left w:val="single" w:color="CF7B79" w:themeColor="accent2" w:themeTint="BF" w:sz="8" w:space="0"/>
        <w:bottom w:val="single" w:color="CF7B79" w:themeColor="accent2" w:themeTint="BF" w:sz="8" w:space="0"/>
        <w:right w:val="single" w:color="CF7B79" w:themeColor="accent2" w:themeTint="BF" w:sz="8" w:space="0"/>
        <w:insideH w:val="single" w:color="CF7B79" w:themeColor="accent2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CF7B79" w:themeColor="accent2" w:themeTint="BF" w:sz="8" w:space="0"/>
          <w:left w:val="single" w:color="CF7B79" w:themeColor="accent2" w:themeTint="BF" w:sz="8" w:space="0"/>
          <w:bottom w:val="single" w:color="CF7B79" w:themeColor="accent2" w:themeTint="BF" w:sz="8" w:space="0"/>
          <w:right w:val="single" w:color="CF7B79" w:themeColor="accent2" w:themeTint="BF" w:sz="8" w:space="0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F7B79" w:themeColor="accent2" w:themeTint="BF" w:sz="6" w:space="0"/>
          <w:left w:val="single" w:color="CF7B79" w:themeColor="accent2" w:themeTint="BF" w:sz="8" w:space="0"/>
          <w:bottom w:val="single" w:color="CF7B79" w:themeColor="accent2" w:themeTint="BF" w:sz="8" w:space="0"/>
          <w:right w:val="single" w:color="CF7B79" w:themeColor="accent2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64">
    <w:name w:val="Medium Shading 1 Accent 3"/>
    <w:basedOn w:val="38"/>
    <w:qFormat/>
    <w:uiPriority w:val="63"/>
    <w:tblPr>
      <w:tblBorders>
        <w:top w:val="single" w:color="B4CC82" w:themeColor="accent3" w:themeTint="BF" w:sz="8" w:space="0"/>
        <w:left w:val="single" w:color="B4CC82" w:themeColor="accent3" w:themeTint="BF" w:sz="8" w:space="0"/>
        <w:bottom w:val="single" w:color="B4CC82" w:themeColor="accent3" w:themeTint="BF" w:sz="8" w:space="0"/>
        <w:right w:val="single" w:color="B4CC82" w:themeColor="accent3" w:themeTint="BF" w:sz="8" w:space="0"/>
        <w:insideH w:val="single" w:color="B4CC82" w:themeColor="accent3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B4CC82" w:themeColor="accent3" w:themeTint="BF" w:sz="8" w:space="0"/>
          <w:left w:val="single" w:color="B4CC82" w:themeColor="accent3" w:themeTint="BF" w:sz="8" w:space="0"/>
          <w:bottom w:val="single" w:color="B4CC82" w:themeColor="accent3" w:themeTint="BF" w:sz="8" w:space="0"/>
          <w:right w:val="single" w:color="B4CC82" w:themeColor="accent3" w:themeTint="BF" w:sz="8" w:space="0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B4CC82" w:themeColor="accent3" w:themeTint="BF" w:sz="6" w:space="0"/>
          <w:left w:val="single" w:color="B4CC82" w:themeColor="accent3" w:themeTint="BF" w:sz="8" w:space="0"/>
          <w:bottom w:val="single" w:color="B4CC82" w:themeColor="accent3" w:themeTint="BF" w:sz="8" w:space="0"/>
          <w:right w:val="single" w:color="B4CC82" w:themeColor="accent3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65">
    <w:name w:val="Medium Shading 1 Accent 4"/>
    <w:basedOn w:val="38"/>
    <w:qFormat/>
    <w:uiPriority w:val="63"/>
    <w:tblPr>
      <w:tblBorders>
        <w:top w:val="single" w:color="9F8AB9" w:themeColor="accent4" w:themeTint="BF" w:sz="8" w:space="0"/>
        <w:left w:val="single" w:color="9F8AB9" w:themeColor="accent4" w:themeTint="BF" w:sz="8" w:space="0"/>
        <w:bottom w:val="single" w:color="9F8AB9" w:themeColor="accent4" w:themeTint="BF" w:sz="8" w:space="0"/>
        <w:right w:val="single" w:color="9F8AB9" w:themeColor="accent4" w:themeTint="BF" w:sz="8" w:space="0"/>
        <w:insideH w:val="single" w:color="9F8AB9" w:themeColor="accent4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9F8AB9" w:themeColor="accent4" w:themeTint="BF" w:sz="8" w:space="0"/>
          <w:left w:val="single" w:color="9F8AB9" w:themeColor="accent4" w:themeTint="BF" w:sz="8" w:space="0"/>
          <w:bottom w:val="single" w:color="9F8AB9" w:themeColor="accent4" w:themeTint="BF" w:sz="8" w:space="0"/>
          <w:right w:val="single" w:color="9F8AB9" w:themeColor="accent4" w:themeTint="BF" w:sz="8" w:space="0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F8AB9" w:themeColor="accent4" w:themeTint="BF" w:sz="6" w:space="0"/>
          <w:left w:val="single" w:color="9F8AB9" w:themeColor="accent4" w:themeTint="BF" w:sz="8" w:space="0"/>
          <w:bottom w:val="single" w:color="9F8AB9" w:themeColor="accent4" w:themeTint="BF" w:sz="8" w:space="0"/>
          <w:right w:val="single" w:color="9F8AB9" w:themeColor="accent4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66">
    <w:name w:val="Medium Shading 1 Accent 5"/>
    <w:basedOn w:val="38"/>
    <w:qFormat/>
    <w:uiPriority w:val="63"/>
    <w:tblPr>
      <w:tblBorders>
        <w:top w:val="single" w:color="78C0D4" w:themeColor="accent5" w:themeTint="BF" w:sz="8" w:space="0"/>
        <w:left w:val="single" w:color="78C0D4" w:themeColor="accent5" w:themeTint="BF" w:sz="8" w:space="0"/>
        <w:bottom w:val="single" w:color="78C0D4" w:themeColor="accent5" w:themeTint="BF" w:sz="8" w:space="0"/>
        <w:right w:val="single" w:color="78C0D4" w:themeColor="accent5" w:themeTint="BF" w:sz="8" w:space="0"/>
        <w:insideH w:val="single" w:color="78C0D4" w:themeColor="accent5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78C0D4" w:themeColor="accent5" w:themeTint="BF" w:sz="8" w:space="0"/>
          <w:left w:val="single" w:color="78C0D4" w:themeColor="accent5" w:themeTint="BF" w:sz="8" w:space="0"/>
          <w:bottom w:val="single" w:color="78C0D4" w:themeColor="accent5" w:themeTint="BF" w:sz="8" w:space="0"/>
          <w:right w:val="single" w:color="78C0D4" w:themeColor="accent5" w:themeTint="BF" w:sz="8" w:space="0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78C0D4" w:themeColor="accent5" w:themeTint="BF" w:sz="6" w:space="0"/>
          <w:left w:val="single" w:color="78C0D4" w:themeColor="accent5" w:themeTint="BF" w:sz="8" w:space="0"/>
          <w:bottom w:val="single" w:color="78C0D4" w:themeColor="accent5" w:themeTint="BF" w:sz="8" w:space="0"/>
          <w:right w:val="single" w:color="78C0D4" w:themeColor="accent5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67">
    <w:name w:val="Medium Shading 1 Accent 6"/>
    <w:basedOn w:val="38"/>
    <w:qFormat/>
    <w:uiPriority w:val="63"/>
    <w:tblPr>
      <w:tblBorders>
        <w:top w:val="single" w:color="F9B074" w:themeColor="accent6" w:themeTint="BF" w:sz="8" w:space="0"/>
        <w:left w:val="single" w:color="F9B074" w:themeColor="accent6" w:themeTint="BF" w:sz="8" w:space="0"/>
        <w:bottom w:val="single" w:color="F9B074" w:themeColor="accent6" w:themeTint="BF" w:sz="8" w:space="0"/>
        <w:right w:val="single" w:color="F9B074" w:themeColor="accent6" w:themeTint="BF" w:sz="8" w:space="0"/>
        <w:insideH w:val="single" w:color="F9B074" w:themeColor="accent6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9B074" w:themeColor="accent6" w:themeTint="BF" w:sz="8" w:space="0"/>
          <w:left w:val="single" w:color="F9B074" w:themeColor="accent6" w:themeTint="BF" w:sz="8" w:space="0"/>
          <w:bottom w:val="single" w:color="F9B074" w:themeColor="accent6" w:themeTint="BF" w:sz="8" w:space="0"/>
          <w:right w:val="single" w:color="F9B074" w:themeColor="accent6" w:themeTint="BF" w:sz="8" w:space="0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F9B074" w:themeColor="accent6" w:themeTint="BF" w:sz="6" w:space="0"/>
          <w:left w:val="single" w:color="F9B074" w:themeColor="accent6" w:themeTint="BF" w:sz="8" w:space="0"/>
          <w:bottom w:val="single" w:color="F9B074" w:themeColor="accent6" w:themeTint="BF" w:sz="8" w:space="0"/>
          <w:right w:val="single" w:color="F9B074" w:themeColor="accent6" w:themeTint="BF" w:sz="8" w:space="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5D1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5D1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68">
    <w:name w:val="Medium Shading 2"/>
    <w:basedOn w:val="38"/>
    <w:qFormat/>
    <w:uiPriority w:val="64"/>
    <w:tblPr>
      <w:tblBorders>
        <w:top w:val="single" w:color="auto" w:sz="18" w:space="0"/>
        <w:bottom w:val="single" w:color="auto" w:sz="1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background1" w:themeFillShade="D8"/>
      </w:tcPr>
    </w:tblStylePr>
    <w:tblStylePr w:type="band1Horz">
      <w:tblPr/>
      <w:tcPr>
        <w:shd w:val="clear" w:color="auto" w:fill="D7D7D7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69">
    <w:name w:val="Medium Shading 2 Accent 1"/>
    <w:basedOn w:val="38"/>
    <w:qFormat/>
    <w:uiPriority w:val="64"/>
    <w:tblPr>
      <w:tblBorders>
        <w:top w:val="single" w:color="auto" w:sz="18" w:space="0"/>
        <w:bottom w:val="single" w:color="auto" w:sz="1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background1" w:themeFillShade="D8"/>
      </w:tcPr>
    </w:tblStylePr>
    <w:tblStylePr w:type="band1Horz">
      <w:tblPr/>
      <w:tcPr>
        <w:shd w:val="clear" w:color="auto" w:fill="D7D7D7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70">
    <w:name w:val="Medium Shading 2 Accent 2"/>
    <w:basedOn w:val="38"/>
    <w:qFormat/>
    <w:uiPriority w:val="64"/>
    <w:tblPr>
      <w:tblBorders>
        <w:top w:val="single" w:color="auto" w:sz="18" w:space="0"/>
        <w:bottom w:val="single" w:color="auto" w:sz="1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background1" w:themeFillShade="D8"/>
      </w:tcPr>
    </w:tblStylePr>
    <w:tblStylePr w:type="band1Horz">
      <w:tblPr/>
      <w:tcPr>
        <w:shd w:val="clear" w:color="auto" w:fill="D7D7D7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71">
    <w:name w:val="Medium Shading 2 Accent 3"/>
    <w:basedOn w:val="38"/>
    <w:qFormat/>
    <w:uiPriority w:val="64"/>
    <w:tblPr>
      <w:tblBorders>
        <w:top w:val="single" w:color="auto" w:sz="18" w:space="0"/>
        <w:bottom w:val="single" w:color="auto" w:sz="1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background1" w:themeFillShade="D8"/>
      </w:tcPr>
    </w:tblStylePr>
    <w:tblStylePr w:type="band1Horz">
      <w:tblPr/>
      <w:tcPr>
        <w:shd w:val="clear" w:color="auto" w:fill="D7D7D7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72">
    <w:name w:val="Medium Shading 2 Accent 4"/>
    <w:basedOn w:val="38"/>
    <w:qFormat/>
    <w:uiPriority w:val="64"/>
    <w:tblPr>
      <w:tblBorders>
        <w:top w:val="single" w:color="auto" w:sz="18" w:space="0"/>
        <w:bottom w:val="single" w:color="auto" w:sz="1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background1" w:themeFillShade="D8"/>
      </w:tcPr>
    </w:tblStylePr>
    <w:tblStylePr w:type="band1Horz">
      <w:tblPr/>
      <w:tcPr>
        <w:shd w:val="clear" w:color="auto" w:fill="D7D7D7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73">
    <w:name w:val="Medium Shading 2 Accent 5"/>
    <w:basedOn w:val="38"/>
    <w:qFormat/>
    <w:uiPriority w:val="64"/>
    <w:tblPr>
      <w:tblBorders>
        <w:top w:val="single" w:color="auto" w:sz="18" w:space="0"/>
        <w:bottom w:val="single" w:color="auto" w:sz="1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background1" w:themeFillShade="D8"/>
      </w:tcPr>
    </w:tblStylePr>
    <w:tblStylePr w:type="band1Horz">
      <w:tblPr/>
      <w:tcPr>
        <w:shd w:val="clear" w:color="auto" w:fill="D7D7D7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74">
    <w:name w:val="Medium Shading 2 Accent 6"/>
    <w:basedOn w:val="38"/>
    <w:qFormat/>
    <w:uiPriority w:val="64"/>
    <w:tblPr>
      <w:tblBorders>
        <w:top w:val="single" w:color="auto" w:sz="18" w:space="0"/>
        <w:bottom w:val="single" w:color="auto" w:sz="1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color="auto" w:sz="6" w:space="0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single" w:color="auto" w:sz="18" w:space="0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background1" w:themeFillShade="D8"/>
      </w:tcPr>
    </w:tblStylePr>
    <w:tblStylePr w:type="band1Horz">
      <w:tblPr/>
      <w:tcPr>
        <w:shd w:val="clear" w:color="auto" w:fill="D7D7D7" w:themeFill="background1" w:themeFillShade="D8"/>
      </w:tcPr>
    </w:tblStylePr>
    <w:tblStylePr w:type="neCell"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auto" w:sz="18" w:space="0"/>
          <w:left w:val="nil"/>
          <w:bottom w:val="single" w:color="auto" w:sz="18" w:space="0"/>
          <w:right w:val="nil"/>
          <w:insideH w:val="nil"/>
          <w:insideV w:val="nil"/>
        </w:tcBorders>
      </w:tcPr>
    </w:tblStylePr>
  </w:style>
  <w:style w:type="table" w:styleId="75">
    <w:name w:val="Medium List 1"/>
    <w:basedOn w:val="38"/>
    <w:qFormat/>
    <w:uiPriority w:val="65"/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000000" w:themeColor="text1" w:sz="8" w:space="0"/>
        <w:bottom w:val="single" w:color="000000" w:themeColor="tex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000000" w:themeColor="text1" w:sz="8" w:space="0"/>
        </w:tcBorders>
      </w:tcPr>
    </w:tblStylePr>
    <w:tblStylePr w:type="lastRow">
      <w:rPr>
        <w:b/>
        <w:bCs/>
        <w:color w:val="1F497D" w:themeColor="text2"/>
        <w14:textFill>
          <w14:solidFill>
            <w14:schemeClr w14:val="tx2"/>
          </w14:solidFill>
        </w14:textFill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000000" w:themeColor="text1" w:sz="8" w:space="0"/>
          <w:bottom w:val="single" w:color="000000" w:themeColor="text1" w:sz="8" w:space="0"/>
        </w:tcBorders>
      </w:tcPr>
    </w:tblStylePr>
    <w:tblStylePr w:type="band1Vert">
      <w:tblPr/>
      <w:tcPr>
        <w:shd w:val="clear" w:color="auto" w:fill="BFBFBF" w:themeFill="text1" w:themeFillTint="3F"/>
      </w:tcPr>
    </w:tblStylePr>
    <w:tblStylePr w:type="band1Horz">
      <w:tblPr/>
      <w:tcPr>
        <w:shd w:val="clear" w:color="auto" w:fill="BFBFBF" w:themeFill="text1" w:themeFillTint="3F"/>
      </w:tcPr>
    </w:tblStylePr>
  </w:style>
  <w:style w:type="table" w:styleId="76">
    <w:name w:val="Medium List 1 Accent 1"/>
    <w:basedOn w:val="38"/>
    <w:qFormat/>
    <w:uiPriority w:val="65"/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4F81BD" w:themeColor="accent1" w:sz="8" w:space="0"/>
        <w:bottom w:val="single" w:color="4F81BD" w:themeColor="accen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4F81BD" w:themeColor="accent1" w:sz="8" w:space="0"/>
        </w:tcBorders>
      </w:tcPr>
    </w:tblStylePr>
    <w:tblStylePr w:type="lastRow">
      <w:rPr>
        <w:b/>
        <w:bCs/>
        <w:color w:val="1F497D" w:themeColor="text2"/>
        <w14:textFill>
          <w14:solidFill>
            <w14:schemeClr w14:val="tx2"/>
          </w14:solidFill>
        </w14:textFill>
      </w:rPr>
      <w:tblPr/>
      <w:tcPr>
        <w:tcBorders>
          <w:top w:val="single" w:color="4F81BD" w:themeColor="accent1" w:sz="8" w:space="0"/>
          <w:bottom w:val="single" w:color="4F81BD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4F81BD" w:themeColor="accent1" w:sz="8" w:space="0"/>
          <w:bottom w:val="single" w:color="4F81BD" w:themeColor="accent1" w:sz="8" w:space="0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77">
    <w:name w:val="Medium List 1 Accent 2"/>
    <w:basedOn w:val="38"/>
    <w:qFormat/>
    <w:uiPriority w:val="65"/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C0504D" w:themeColor="accent2" w:sz="8" w:space="0"/>
        <w:bottom w:val="single" w:color="C0504D" w:themeColor="accent2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C0504D" w:themeColor="accent2" w:sz="8" w:space="0"/>
        </w:tcBorders>
      </w:tcPr>
    </w:tblStylePr>
    <w:tblStylePr w:type="lastRow">
      <w:rPr>
        <w:b/>
        <w:bCs/>
        <w:color w:val="1F497D" w:themeColor="text2"/>
        <w14:textFill>
          <w14:solidFill>
            <w14:schemeClr w14:val="tx2"/>
          </w14:solidFill>
        </w14:textFill>
      </w:rPr>
      <w:tblPr/>
      <w:tcPr>
        <w:tcBorders>
          <w:top w:val="single" w:color="C0504D" w:themeColor="accent2" w:sz="8" w:space="0"/>
          <w:bottom w:val="single" w:color="C0504D" w:themeColor="accent2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C0504D" w:themeColor="accent2" w:sz="8" w:space="0"/>
          <w:bottom w:val="single" w:color="C0504D" w:themeColor="accent2" w:sz="8" w:space="0"/>
        </w:tcBorders>
      </w:tcPr>
    </w:tblStylePr>
    <w:tblStylePr w:type="band1Vert">
      <w:tblPr/>
      <w:tcPr>
        <w:shd w:val="clear" w:color="auto" w:fill="EFD3D3" w:themeFill="accent2" w:themeFillTint="3F"/>
      </w:tcPr>
    </w:tblStylePr>
    <w:tblStylePr w:type="band1Horz">
      <w:tblPr/>
      <w:tcPr>
        <w:shd w:val="clear" w:color="auto" w:fill="EFD3D3" w:themeFill="accent2" w:themeFillTint="3F"/>
      </w:tcPr>
    </w:tblStylePr>
  </w:style>
  <w:style w:type="table" w:styleId="78">
    <w:name w:val="Medium List 1 Accent 3"/>
    <w:basedOn w:val="38"/>
    <w:qFormat/>
    <w:uiPriority w:val="65"/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9BBB59" w:themeColor="accent3" w:sz="8" w:space="0"/>
        <w:bottom w:val="single" w:color="9BBB59" w:themeColor="accent3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9BBB59" w:themeColor="accent3" w:sz="8" w:space="0"/>
        </w:tcBorders>
      </w:tcPr>
    </w:tblStylePr>
    <w:tblStylePr w:type="lastRow">
      <w:rPr>
        <w:b/>
        <w:bCs/>
        <w:color w:val="1F497D" w:themeColor="text2"/>
        <w14:textFill>
          <w14:solidFill>
            <w14:schemeClr w14:val="tx2"/>
          </w14:solidFill>
        </w14:textFill>
      </w:rPr>
      <w:tblPr/>
      <w:tcPr>
        <w:tcBorders>
          <w:top w:val="single" w:color="9BBB59" w:themeColor="accent3" w:sz="8" w:space="0"/>
          <w:bottom w:val="single" w:color="9BBB59" w:themeColor="accent3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9BBB59" w:themeColor="accent3" w:sz="8" w:space="0"/>
          <w:bottom w:val="single" w:color="9BBB59" w:themeColor="accent3" w:sz="8" w:space="0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79">
    <w:name w:val="Medium List 1 Accent 4"/>
    <w:basedOn w:val="38"/>
    <w:qFormat/>
    <w:uiPriority w:val="65"/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8064A2" w:themeColor="accent4" w:sz="8" w:space="0"/>
        <w:bottom w:val="single" w:color="8064A2" w:themeColor="accent4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8064A2" w:themeColor="accent4" w:sz="8" w:space="0"/>
        </w:tcBorders>
      </w:tcPr>
    </w:tblStylePr>
    <w:tblStylePr w:type="lastRow">
      <w:rPr>
        <w:b/>
        <w:bCs/>
        <w:color w:val="1F497D" w:themeColor="text2"/>
        <w14:textFill>
          <w14:solidFill>
            <w14:schemeClr w14:val="tx2"/>
          </w14:solidFill>
        </w14:textFill>
      </w:rPr>
      <w:tblPr/>
      <w:tcPr>
        <w:tcBorders>
          <w:top w:val="single" w:color="8064A2" w:themeColor="accent4" w:sz="8" w:space="0"/>
          <w:bottom w:val="single" w:color="8064A2" w:themeColor="accent4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8064A2" w:themeColor="accent4" w:sz="8" w:space="0"/>
          <w:bottom w:val="single" w:color="8064A2" w:themeColor="accent4" w:sz="8" w:space="0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80">
    <w:name w:val="Medium List 1 Accent 5"/>
    <w:basedOn w:val="38"/>
    <w:qFormat/>
    <w:uiPriority w:val="65"/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4BACC6" w:themeColor="accent5" w:sz="8" w:space="0"/>
        <w:bottom w:val="single" w:color="4BACC6" w:themeColor="accent5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4BACC6" w:themeColor="accent5" w:sz="8" w:space="0"/>
        </w:tcBorders>
      </w:tcPr>
    </w:tblStylePr>
    <w:tblStylePr w:type="lastRow">
      <w:rPr>
        <w:b/>
        <w:bCs/>
        <w:color w:val="1F497D" w:themeColor="text2"/>
        <w14:textFill>
          <w14:solidFill>
            <w14:schemeClr w14:val="tx2"/>
          </w14:solidFill>
        </w14:textFill>
      </w:rPr>
      <w:tblPr/>
      <w:tcPr>
        <w:tcBorders>
          <w:top w:val="single" w:color="4BACC6" w:themeColor="accent5" w:sz="8" w:space="0"/>
          <w:bottom w:val="single" w:color="4BACC6" w:themeColor="accent5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4BACC6" w:themeColor="accent5" w:sz="8" w:space="0"/>
          <w:bottom w:val="single" w:color="4BACC6" w:themeColor="accent5" w:sz="8" w:space="0"/>
        </w:tcBorders>
      </w:tcPr>
    </w:tblStylePr>
    <w:tblStylePr w:type="band1Vert">
      <w:tblPr/>
      <w:tcPr>
        <w:shd w:val="clear" w:color="auto" w:fill="D2EAF0" w:themeFill="accent5" w:themeFillTint="3F"/>
      </w:tcPr>
    </w:tblStylePr>
    <w:tblStylePr w:type="band1Horz">
      <w:tblPr/>
      <w:tcPr>
        <w:shd w:val="clear" w:color="auto" w:fill="D2EAF0" w:themeFill="accent5" w:themeFillTint="3F"/>
      </w:tcPr>
    </w:tblStylePr>
  </w:style>
  <w:style w:type="table" w:styleId="81">
    <w:name w:val="Medium List 1 Accent 6"/>
    <w:basedOn w:val="38"/>
    <w:qFormat/>
    <w:uiPriority w:val="65"/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F79646" w:themeColor="accent6" w:sz="8" w:space="0"/>
        <w:bottom w:val="single" w:color="F79646" w:themeColor="accent6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hAnsiTheme="majorHAnsi" w:eastAsiaTheme="majorEastAsia" w:cstheme="majorBidi"/>
      </w:rPr>
      <w:tblPr/>
      <w:tcPr>
        <w:tcBorders>
          <w:top w:val="nil"/>
          <w:bottom w:val="single" w:color="F79646" w:themeColor="accent6" w:sz="8" w:space="0"/>
        </w:tcBorders>
      </w:tcPr>
    </w:tblStylePr>
    <w:tblStylePr w:type="lastRow">
      <w:rPr>
        <w:b/>
        <w:bCs/>
        <w:color w:val="1F497D" w:themeColor="text2"/>
        <w14:textFill>
          <w14:solidFill>
            <w14:schemeClr w14:val="tx2"/>
          </w14:solidFill>
        </w14:textFill>
      </w:rPr>
      <w:tblPr/>
      <w:tcPr>
        <w:tcBorders>
          <w:top w:val="single" w:color="F79646" w:themeColor="accent6" w:sz="8" w:space="0"/>
          <w:bottom w:val="single" w:color="F79646" w:themeColor="accent6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color="F79646" w:themeColor="accent6" w:sz="8" w:space="0"/>
          <w:bottom w:val="single" w:color="F79646" w:themeColor="accent6" w:sz="8" w:space="0"/>
        </w:tcBorders>
      </w:tcPr>
    </w:tblStylePr>
    <w:tblStylePr w:type="band1Vert">
      <w:tblPr/>
      <w:tcPr>
        <w:shd w:val="clear" w:color="auto" w:fill="FDE5D1" w:themeFill="accent6" w:themeFillTint="3F"/>
      </w:tcPr>
    </w:tblStylePr>
    <w:tblStylePr w:type="band1Horz">
      <w:tblPr/>
      <w:tcPr>
        <w:shd w:val="clear" w:color="auto" w:fill="FDE5D1" w:themeFill="accent6" w:themeFillTint="3F"/>
      </w:tcPr>
    </w:tblStylePr>
  </w:style>
  <w:style w:type="table" w:styleId="82">
    <w:name w:val="Medium List 2"/>
    <w:basedOn w:val="38"/>
    <w:qFormat/>
    <w:uiPriority w:val="66"/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000000" w:themeColor="tex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000000" w:themeColor="text1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000000" w:themeColor="tex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000000" w:themeColor="tex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FBFBF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FBFBF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83">
    <w:name w:val="Medium List 2 Accent 1"/>
    <w:basedOn w:val="38"/>
    <w:qFormat/>
    <w:uiPriority w:val="66"/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4F81BD" w:themeColor="accent1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4F81BD" w:themeColor="accent1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4F81BD" w:themeColor="accent1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4F81BD" w:themeColor="accent1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84">
    <w:name w:val="Medium List 2 Accent 2"/>
    <w:basedOn w:val="38"/>
    <w:qFormat/>
    <w:uiPriority w:val="66"/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C0504D" w:themeColor="accent2" w:sz="8" w:space="0"/>
        <w:left w:val="single" w:color="C0504D" w:themeColor="accent2" w:sz="8" w:space="0"/>
        <w:bottom w:val="single" w:color="C0504D" w:themeColor="accent2" w:sz="8" w:space="0"/>
        <w:right w:val="single" w:color="C0504D" w:themeColor="accent2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C0504D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C0504D" w:themeColor="accent2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C0504D" w:themeColor="accent2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C0504D" w:themeColor="accent2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85">
    <w:name w:val="Medium List 2 Accent 3"/>
    <w:basedOn w:val="38"/>
    <w:qFormat/>
    <w:uiPriority w:val="66"/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9BBB59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9BBB59" w:themeColor="accent3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9BBB59" w:themeColor="accent3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9BBB59" w:themeColor="accent3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86">
    <w:name w:val="Medium List 2 Accent 4"/>
    <w:basedOn w:val="38"/>
    <w:qFormat/>
    <w:uiPriority w:val="66"/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8064A2" w:themeColor="accent4" w:sz="8" w:space="0"/>
        <w:left w:val="single" w:color="8064A2" w:themeColor="accent4" w:sz="8" w:space="0"/>
        <w:bottom w:val="single" w:color="8064A2" w:themeColor="accent4" w:sz="8" w:space="0"/>
        <w:right w:val="single" w:color="8064A2" w:themeColor="accent4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8064A2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8064A2" w:themeColor="accent4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8064A2" w:themeColor="accent4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8064A2" w:themeColor="accent4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87">
    <w:name w:val="Medium List 2 Accent 5"/>
    <w:basedOn w:val="38"/>
    <w:qFormat/>
    <w:uiPriority w:val="66"/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4BACC6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4BACC6" w:themeColor="accent5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4BACC6" w:themeColor="accent5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4BACC6" w:themeColor="accent5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88">
    <w:name w:val="Medium List 2 Accent 6"/>
    <w:basedOn w:val="38"/>
    <w:qFormat/>
    <w:uiPriority w:val="66"/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F79646" w:themeColor="accent6" w:sz="8" w:space="0"/>
        <w:left w:val="single" w:color="F79646" w:themeColor="accent6" w:sz="8" w:space="0"/>
        <w:bottom w:val="single" w:color="F79646" w:themeColor="accent6" w:sz="8" w:space="0"/>
        <w:right w:val="single" w:color="F79646" w:themeColor="accent6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color="F79646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color="F79646" w:themeColor="accent6" w:sz="8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color="F79646" w:themeColor="accent6" w:sz="8" w:space="0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color="F79646" w:themeColor="accent6" w:sz="8" w:space="0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5D1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5D1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89">
    <w:name w:val="Medium Grid 1"/>
    <w:basedOn w:val="38"/>
    <w:qFormat/>
    <w:uiPriority w:val="67"/>
    <w:tblPr>
      <w:tblBorders>
        <w:top w:val="single" w:color="3F3F3F" w:themeColor="text1" w:themeTint="BF" w:sz="8" w:space="0"/>
        <w:left w:val="single" w:color="3F3F3F" w:themeColor="text1" w:themeTint="BF" w:sz="8" w:space="0"/>
        <w:bottom w:val="single" w:color="3F3F3F" w:themeColor="text1" w:themeTint="BF" w:sz="8" w:space="0"/>
        <w:right w:val="single" w:color="3F3F3F" w:themeColor="text1" w:themeTint="BF" w:sz="8" w:space="0"/>
        <w:insideH w:val="single" w:color="3F3F3F" w:themeColor="text1" w:themeTint="BF" w:sz="8" w:space="0"/>
        <w:insideV w:val="single" w:color="3F3F3F" w:themeColor="text1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FBFBF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3F3F3F" w:themeColor="tex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F7F7F" w:themeFill="text1" w:themeFillTint="7F"/>
      </w:tcPr>
    </w:tblStylePr>
    <w:tblStylePr w:type="band1Horz">
      <w:tblPr/>
      <w:tcPr>
        <w:shd w:val="clear" w:color="auto" w:fill="7F7F7F" w:themeFill="text1" w:themeFillTint="7F"/>
      </w:tcPr>
    </w:tblStylePr>
  </w:style>
  <w:style w:type="table" w:styleId="90">
    <w:name w:val="Medium Grid 1 Accent 1"/>
    <w:basedOn w:val="38"/>
    <w:qFormat/>
    <w:uiPriority w:val="67"/>
    <w:tblPr>
      <w:tblBorders>
        <w:top w:val="single" w:color="7BA0CD" w:themeColor="accent1" w:themeTint="BF" w:sz="8" w:space="0"/>
        <w:left w:val="single" w:color="7BA0CD" w:themeColor="accent1" w:themeTint="BF" w:sz="8" w:space="0"/>
        <w:bottom w:val="single" w:color="7BA0CD" w:themeColor="accent1" w:themeTint="BF" w:sz="8" w:space="0"/>
        <w:right w:val="single" w:color="7BA0CD" w:themeColor="accent1" w:themeTint="BF" w:sz="8" w:space="0"/>
        <w:insideH w:val="single" w:color="7BA0CD" w:themeColor="accent1" w:themeTint="BF" w:sz="8" w:space="0"/>
        <w:insideV w:val="single" w:color="7BA0CD" w:themeColor="accent1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7BA0CD" w:themeColor="accent1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C0DE" w:themeFill="accent1" w:themeFillTint="7F"/>
      </w:tcPr>
    </w:tblStylePr>
    <w:tblStylePr w:type="band1Horz">
      <w:tblPr/>
      <w:tcPr>
        <w:shd w:val="clear" w:color="auto" w:fill="A7C0DE" w:themeFill="accent1" w:themeFillTint="7F"/>
      </w:tcPr>
    </w:tblStylePr>
  </w:style>
  <w:style w:type="table" w:styleId="91">
    <w:name w:val="Medium Grid 1 Accent 2"/>
    <w:basedOn w:val="38"/>
    <w:qFormat/>
    <w:uiPriority w:val="67"/>
    <w:tblPr>
      <w:tblBorders>
        <w:top w:val="single" w:color="CF7B79" w:themeColor="accent2" w:themeTint="BF" w:sz="8" w:space="0"/>
        <w:left w:val="single" w:color="CF7B79" w:themeColor="accent2" w:themeTint="BF" w:sz="8" w:space="0"/>
        <w:bottom w:val="single" w:color="CF7B79" w:themeColor="accent2" w:themeTint="BF" w:sz="8" w:space="0"/>
        <w:right w:val="single" w:color="CF7B79" w:themeColor="accent2" w:themeTint="BF" w:sz="8" w:space="0"/>
        <w:insideH w:val="single" w:color="CF7B79" w:themeColor="accent2" w:themeTint="BF" w:sz="8" w:space="0"/>
        <w:insideV w:val="single" w:color="CF7B79" w:themeColor="accent2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CF7B79" w:themeColor="accent2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92">
    <w:name w:val="Medium Grid 1 Accent 3"/>
    <w:basedOn w:val="38"/>
    <w:qFormat/>
    <w:uiPriority w:val="67"/>
    <w:tblPr>
      <w:tblBorders>
        <w:top w:val="single" w:color="B4CC82" w:themeColor="accent3" w:themeTint="BF" w:sz="8" w:space="0"/>
        <w:left w:val="single" w:color="B4CC82" w:themeColor="accent3" w:themeTint="BF" w:sz="8" w:space="0"/>
        <w:bottom w:val="single" w:color="B4CC82" w:themeColor="accent3" w:themeTint="BF" w:sz="8" w:space="0"/>
        <w:right w:val="single" w:color="B4CC82" w:themeColor="accent3" w:themeTint="BF" w:sz="8" w:space="0"/>
        <w:insideH w:val="single" w:color="B4CC82" w:themeColor="accent3" w:themeTint="BF" w:sz="8" w:space="0"/>
        <w:insideV w:val="single" w:color="B4CC82" w:themeColor="accent3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B4CC82" w:themeColor="accent3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93">
    <w:name w:val="Medium Grid 1 Accent 4"/>
    <w:basedOn w:val="38"/>
    <w:qFormat/>
    <w:uiPriority w:val="67"/>
    <w:tblPr>
      <w:tblBorders>
        <w:top w:val="single" w:color="9F8AB9" w:themeColor="accent4" w:themeTint="BF" w:sz="8" w:space="0"/>
        <w:left w:val="single" w:color="9F8AB9" w:themeColor="accent4" w:themeTint="BF" w:sz="8" w:space="0"/>
        <w:bottom w:val="single" w:color="9F8AB9" w:themeColor="accent4" w:themeTint="BF" w:sz="8" w:space="0"/>
        <w:right w:val="single" w:color="9F8AB9" w:themeColor="accent4" w:themeTint="BF" w:sz="8" w:space="0"/>
        <w:insideH w:val="single" w:color="9F8AB9" w:themeColor="accent4" w:themeTint="BF" w:sz="8" w:space="0"/>
        <w:insideV w:val="single" w:color="9F8AB9" w:themeColor="accent4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9F8AB9" w:themeColor="accent4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94">
    <w:name w:val="Medium Grid 1 Accent 5"/>
    <w:basedOn w:val="38"/>
    <w:qFormat/>
    <w:uiPriority w:val="67"/>
    <w:tblPr>
      <w:tblBorders>
        <w:top w:val="single" w:color="78C0D4" w:themeColor="accent5" w:themeTint="BF" w:sz="8" w:space="0"/>
        <w:left w:val="single" w:color="78C0D4" w:themeColor="accent5" w:themeTint="BF" w:sz="8" w:space="0"/>
        <w:bottom w:val="single" w:color="78C0D4" w:themeColor="accent5" w:themeTint="BF" w:sz="8" w:space="0"/>
        <w:right w:val="single" w:color="78C0D4" w:themeColor="accent5" w:themeTint="BF" w:sz="8" w:space="0"/>
        <w:insideH w:val="single" w:color="78C0D4" w:themeColor="accent5" w:themeTint="BF" w:sz="8" w:space="0"/>
        <w:insideV w:val="single" w:color="78C0D4" w:themeColor="accent5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78C0D4" w:themeColor="accent5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95">
    <w:name w:val="Medium Grid 1 Accent 6"/>
    <w:basedOn w:val="38"/>
    <w:qFormat/>
    <w:uiPriority w:val="67"/>
    <w:tblPr>
      <w:tblBorders>
        <w:top w:val="single" w:color="F9B074" w:themeColor="accent6" w:themeTint="BF" w:sz="8" w:space="0"/>
        <w:left w:val="single" w:color="F9B074" w:themeColor="accent6" w:themeTint="BF" w:sz="8" w:space="0"/>
        <w:bottom w:val="single" w:color="F9B074" w:themeColor="accent6" w:themeTint="BF" w:sz="8" w:space="0"/>
        <w:right w:val="single" w:color="F9B074" w:themeColor="accent6" w:themeTint="BF" w:sz="8" w:space="0"/>
        <w:insideH w:val="single" w:color="F9B074" w:themeColor="accent6" w:themeTint="BF" w:sz="8" w:space="0"/>
        <w:insideV w:val="single" w:color="F9B074" w:themeColor="accent6" w:themeTint="BF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5D1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color="F9B074" w:themeColor="accent6" w:themeTint="BF" w:sz="1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96">
    <w:name w:val="Medium Grid 2"/>
    <w:basedOn w:val="38"/>
    <w:qFormat/>
    <w:uiPriority w:val="68"/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  <w:insideH w:val="single" w:color="000000" w:themeColor="text1" w:sz="8" w:space="0"/>
        <w:insideV w:val="single" w:color="000000" w:themeColor="text1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FBFBF" w:themeFill="text1" w:themeFillTint="3F"/>
    </w:tcPr>
    <w:tblStylePr w:type="fir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E5E5E5" w:themeFill="text1" w:themeFillTint="19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7F7F7F" w:themeFill="text1" w:themeFillTint="7F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7F7F7F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7">
    <w:name w:val="Medium Grid 2 Accent 1"/>
    <w:basedOn w:val="38"/>
    <w:qFormat/>
    <w:uiPriority w:val="68"/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4F81BD" w:themeColor="accent1" w:sz="8" w:space="0"/>
        <w:left w:val="single" w:color="4F81BD" w:themeColor="accent1" w:sz="8" w:space="0"/>
        <w:bottom w:val="single" w:color="4F81BD" w:themeColor="accent1" w:sz="8" w:space="0"/>
        <w:right w:val="single" w:color="4F81BD" w:themeColor="accent1" w:sz="8" w:space="0"/>
        <w:insideH w:val="single" w:color="4F81BD" w:themeColor="accent1" w:sz="8" w:space="0"/>
        <w:insideV w:val="single" w:color="4F81BD" w:themeColor="accent1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C0DE" w:themeFill="accent1" w:themeFillTint="7F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A7C0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8">
    <w:name w:val="Medium Grid 2 Accent 2"/>
    <w:basedOn w:val="38"/>
    <w:qFormat/>
    <w:uiPriority w:val="68"/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C0504D" w:themeColor="accent2" w:sz="8" w:space="0"/>
        <w:left w:val="single" w:color="C0504D" w:themeColor="accent2" w:sz="8" w:space="0"/>
        <w:bottom w:val="single" w:color="C0504D" w:themeColor="accent2" w:sz="8" w:space="0"/>
        <w:right w:val="single" w:color="C0504D" w:themeColor="accent2" w:sz="8" w:space="0"/>
        <w:insideH w:val="single" w:color="C0504D" w:themeColor="accent2" w:sz="8" w:space="0"/>
        <w:insideV w:val="single" w:color="C0504D" w:themeColor="accent2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3" w:themeFill="accent2" w:themeFillTint="3F"/>
    </w:tcPr>
    <w:tblStylePr w:type="fir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9">
    <w:name w:val="Medium Grid 2 Accent 3"/>
    <w:basedOn w:val="38"/>
    <w:qFormat/>
    <w:uiPriority w:val="68"/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  <w:insideH w:val="single" w:color="9BBB59" w:themeColor="accent3" w:sz="8" w:space="0"/>
        <w:insideV w:val="single" w:color="9BBB59" w:themeColor="accent3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00">
    <w:name w:val="Medium Grid 2 Accent 4"/>
    <w:basedOn w:val="38"/>
    <w:qFormat/>
    <w:uiPriority w:val="68"/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8064A2" w:themeColor="accent4" w:sz="8" w:space="0"/>
        <w:left w:val="single" w:color="8064A2" w:themeColor="accent4" w:sz="8" w:space="0"/>
        <w:bottom w:val="single" w:color="8064A2" w:themeColor="accent4" w:sz="8" w:space="0"/>
        <w:right w:val="single" w:color="8064A2" w:themeColor="accent4" w:sz="8" w:space="0"/>
        <w:insideH w:val="single" w:color="8064A2" w:themeColor="accent4" w:sz="8" w:space="0"/>
        <w:insideV w:val="single" w:color="8064A2" w:themeColor="accent4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F2EFF5" w:themeFill="accent4" w:themeFillTint="19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01">
    <w:name w:val="Medium Grid 2 Accent 5"/>
    <w:basedOn w:val="38"/>
    <w:qFormat/>
    <w:uiPriority w:val="68"/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4BACC6" w:themeColor="accent5" w:sz="8" w:space="0"/>
        <w:left w:val="single" w:color="4BACC6" w:themeColor="accent5" w:sz="8" w:space="0"/>
        <w:bottom w:val="single" w:color="4BACC6" w:themeColor="accent5" w:sz="8" w:space="0"/>
        <w:right w:val="single" w:color="4BACC6" w:themeColor="accent5" w:sz="8" w:space="0"/>
        <w:insideH w:val="single" w:color="4BACC6" w:themeColor="accent5" w:sz="8" w:space="0"/>
        <w:insideV w:val="single" w:color="4BACC6" w:themeColor="accent5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0" w:themeFill="accent5" w:themeFillTint="3F"/>
    </w:tcPr>
    <w:tblStylePr w:type="fir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02">
    <w:name w:val="Medium Grid 2 Accent 6"/>
    <w:basedOn w:val="38"/>
    <w:qFormat/>
    <w:uiPriority w:val="68"/>
    <w:rPr>
      <w:rFonts w:asciiTheme="majorHAnsi" w:hAnsiTheme="majorHAnsi" w:eastAsiaTheme="majorEastAsia" w:cstheme="majorBidi"/>
      <w:color w:val="000000" w:themeColor="text1"/>
      <w14:textFill>
        <w14:solidFill>
          <w14:schemeClr w14:val="tx1"/>
        </w14:solidFill>
      </w14:textFill>
    </w:rPr>
    <w:tblPr>
      <w:tblBorders>
        <w:top w:val="single" w:color="F79646" w:themeColor="accent6" w:sz="8" w:space="0"/>
        <w:left w:val="single" w:color="F79646" w:themeColor="accent6" w:sz="8" w:space="0"/>
        <w:bottom w:val="single" w:color="F79646" w:themeColor="accent6" w:sz="8" w:space="0"/>
        <w:right w:val="single" w:color="F79646" w:themeColor="accent6" w:sz="8" w:space="0"/>
        <w:insideH w:val="single" w:color="F79646" w:themeColor="accent6" w:sz="8" w:space="0"/>
        <w:insideV w:val="single" w:color="F79646" w:themeColor="accent6" w:sz="8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5D1" w:themeFill="accent6" w:themeFillTint="3F"/>
    </w:tcPr>
    <w:tblStylePr w:type="fir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single" w:color="000000" w:themeColor="text1" w:sz="12" w:space="0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  <w14:textFill>
          <w14:solidFill>
            <w14:schemeClr w14:val="tx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/>
          <w:insideV w:val="single" w:sz="6" w:space="0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03">
    <w:name w:val="Medium Grid 3"/>
    <w:basedOn w:val="38"/>
    <w:qFormat/>
    <w:uiPriority w:val="69"/>
    <w:tblPr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BFBFBF" w:themeFill="text1" w:themeFillTint="3F"/>
    </w:tcPr>
    <w:tblStylePr w:type="fir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7F7F7F" w:themeFill="tex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sz="8" w:space="0"/>
          <w:insideV w:val="single" w:sz="8" w:space="0"/>
        </w:tcBorders>
        <w:shd w:val="clear" w:color="auto" w:fill="7F7F7F" w:themeFill="text1" w:themeFillTint="7F"/>
      </w:tcPr>
    </w:tblStylePr>
  </w:style>
  <w:style w:type="table" w:styleId="104">
    <w:name w:val="Medium Grid 3 Accent 1"/>
    <w:basedOn w:val="38"/>
    <w:qFormat/>
    <w:uiPriority w:val="69"/>
    <w:tblPr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A7C0DE" w:themeFill="accent1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sz="8" w:space="0"/>
          <w:insideV w:val="single" w:sz="8" w:space="0"/>
        </w:tcBorders>
        <w:shd w:val="clear" w:color="auto" w:fill="A7C0DE" w:themeFill="accent1" w:themeFillTint="7F"/>
      </w:tcPr>
    </w:tblStylePr>
  </w:style>
  <w:style w:type="table" w:styleId="105">
    <w:name w:val="Medium Grid 3 Accent 2"/>
    <w:basedOn w:val="38"/>
    <w:qFormat/>
    <w:uiPriority w:val="69"/>
    <w:tblPr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3" w:themeFill="accent2" w:themeFillTint="3F"/>
    </w:tcPr>
    <w:tblStylePr w:type="fir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sz="8" w:space="0"/>
          <w:insideV w:val="single" w:sz="8" w:space="0"/>
        </w:tcBorders>
        <w:shd w:val="clear" w:color="auto" w:fill="DFA7A6" w:themeFill="accent2" w:themeFillTint="7F"/>
      </w:tcPr>
    </w:tblStylePr>
  </w:style>
  <w:style w:type="table" w:styleId="106">
    <w:name w:val="Medium Grid 3 Accent 3"/>
    <w:basedOn w:val="38"/>
    <w:qFormat/>
    <w:uiPriority w:val="69"/>
    <w:tblPr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sz="8" w:space="0"/>
          <w:insideV w:val="single" w:sz="8" w:space="0"/>
        </w:tcBorders>
        <w:shd w:val="clear" w:color="auto" w:fill="CDDDAC" w:themeFill="accent3" w:themeFillTint="7F"/>
      </w:tcPr>
    </w:tblStylePr>
  </w:style>
  <w:style w:type="table" w:styleId="107">
    <w:name w:val="Medium Grid 3 Accent 4"/>
    <w:basedOn w:val="38"/>
    <w:qFormat/>
    <w:uiPriority w:val="69"/>
    <w:tblPr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sz="8" w:space="0"/>
          <w:insideV w:val="single" w:sz="8" w:space="0"/>
        </w:tcBorders>
        <w:shd w:val="clear" w:color="auto" w:fill="BFB1D0" w:themeFill="accent4" w:themeFillTint="7F"/>
      </w:tcPr>
    </w:tblStylePr>
  </w:style>
  <w:style w:type="table" w:styleId="108">
    <w:name w:val="Medium Grid 3 Accent 5"/>
    <w:basedOn w:val="38"/>
    <w:qFormat/>
    <w:uiPriority w:val="69"/>
    <w:tblPr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0" w:themeFill="accent5" w:themeFillTint="3F"/>
    </w:tcPr>
    <w:tblStylePr w:type="fir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sz="8" w:space="0"/>
          <w:insideV w:val="single" w:sz="8" w:space="0"/>
        </w:tcBorders>
        <w:shd w:val="clear" w:color="auto" w:fill="A5D5E2" w:themeFill="accent5" w:themeFillTint="7F"/>
      </w:tcPr>
    </w:tblStylePr>
  </w:style>
  <w:style w:type="table" w:styleId="109">
    <w:name w:val="Medium Grid 3 Accent 6"/>
    <w:basedOn w:val="38"/>
    <w:qFormat/>
    <w:uiPriority w:val="69"/>
    <w:tblPr>
      <w:tblBorders>
        <w:top w:val="single" w:color="FFFFFF" w:themeColor="background1" w:sz="8" w:space="0"/>
        <w:left w:val="single" w:color="FFFFFF" w:themeColor="background1" w:sz="8" w:space="0"/>
        <w:bottom w:val="single" w:color="FFFFFF" w:themeColor="background1" w:sz="8" w:space="0"/>
        <w:right w:val="single" w:color="FFFFFF" w:themeColor="background1" w:sz="8" w:space="0"/>
        <w:insideH w:val="single" w:color="FFFFFF" w:themeColor="background1" w:sz="6" w:space="0"/>
        <w:insideV w:val="single" w:color="FFFFFF" w:themeColor="background1" w:sz="6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5D1" w:themeFill="accent6" w:themeFillTint="3F"/>
    </w:tcPr>
    <w:tblStylePr w:type="fir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24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24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single" w:sz="8" w:space="0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left w:val="single" w:color="FFFFFF" w:themeColor="background1" w:sz="8" w:space="0"/>
          <w:right w:val="single" w:color="FFFFFF" w:themeColor="background1" w:sz="24" w:space="0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single" w:color="FFFFFF" w:themeColor="background1" w:sz="24" w:space="0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color="FFFFFF" w:themeColor="background1" w:sz="8" w:space="0"/>
          <w:left w:val="single" w:color="FFFFFF" w:themeColor="background1" w:sz="8" w:space="0"/>
          <w:bottom w:val="single" w:color="FFFFFF" w:themeColor="background1" w:sz="8" w:space="0"/>
          <w:right w:val="single" w:color="FFFFFF" w:themeColor="background1" w:sz="8" w:space="0"/>
          <w:insideH w:val="single" w:sz="8" w:space="0"/>
          <w:insideV w:val="single" w:sz="8" w:space="0"/>
        </w:tcBorders>
        <w:shd w:val="clear" w:color="auto" w:fill="FBCAA2" w:themeFill="accent6" w:themeFillTint="7F"/>
      </w:tcPr>
    </w:tblStylePr>
  </w:style>
  <w:style w:type="table" w:styleId="110">
    <w:name w:val="Dark List"/>
    <w:basedOn w:val="38"/>
    <w:qFormat/>
    <w:uiPriority w:val="70"/>
    <w:rPr>
      <w:color w:val="FFFFFF" w:themeColor="background1"/>
      <w14:textFill>
        <w14:solidFill>
          <w14:schemeClr w14:val="bg1"/>
        </w14:solidFill>
      </w14:textFill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111">
    <w:name w:val="Dark List Accent 1"/>
    <w:basedOn w:val="38"/>
    <w:qFormat/>
    <w:uiPriority w:val="70"/>
    <w:rPr>
      <w:color w:val="FFFFFF" w:themeColor="background1"/>
      <w14:textFill>
        <w14:solidFill>
          <w14:schemeClr w14:val="bg1"/>
        </w14:solidFill>
      </w14:textFill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243F61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366091" w:themeFill="accent1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3660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60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6091" w:themeFill="accent1" w:themeFillShade="BF"/>
      </w:tcPr>
    </w:tblStylePr>
  </w:style>
  <w:style w:type="table" w:styleId="112">
    <w:name w:val="Dark List Accent 2"/>
    <w:basedOn w:val="38"/>
    <w:qFormat/>
    <w:uiPriority w:val="70"/>
    <w:rPr>
      <w:color w:val="FFFFFF" w:themeColor="background1"/>
      <w14:textFill>
        <w14:solidFill>
          <w14:schemeClr w14:val="bg1"/>
        </w14:solidFill>
      </w14:textFill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943734" w:themeFill="accent2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9437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7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734" w:themeFill="accent2" w:themeFillShade="BF"/>
      </w:tcPr>
    </w:tblStylePr>
  </w:style>
  <w:style w:type="table" w:styleId="113">
    <w:name w:val="Dark List Accent 3"/>
    <w:basedOn w:val="38"/>
    <w:qFormat/>
    <w:uiPriority w:val="70"/>
    <w:rPr>
      <w:color w:val="FFFFFF" w:themeColor="background1"/>
      <w14:textFill>
        <w14:solidFill>
          <w14:schemeClr w14:val="bg1"/>
        </w14:solidFill>
      </w14:textFill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4E6127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114">
    <w:name w:val="Dark List Accent 4"/>
    <w:basedOn w:val="38"/>
    <w:qFormat/>
    <w:uiPriority w:val="70"/>
    <w:rPr>
      <w:color w:val="FFFFFF" w:themeColor="background1"/>
      <w14:textFill>
        <w14:solidFill>
          <w14:schemeClr w14:val="bg1"/>
        </w14:solidFill>
      </w14:textFill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3F30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115">
    <w:name w:val="Dark List Accent 5"/>
    <w:basedOn w:val="38"/>
    <w:qFormat/>
    <w:uiPriority w:val="70"/>
    <w:rPr>
      <w:color w:val="FFFFFF" w:themeColor="background1"/>
      <w14:textFill>
        <w14:solidFill>
          <w14:schemeClr w14:val="bg1"/>
        </w14:solidFill>
      </w14:textFill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116">
    <w:name w:val="Dark List Accent 6"/>
    <w:basedOn w:val="38"/>
    <w:qFormat/>
    <w:uiPriority w:val="70"/>
    <w:rPr>
      <w:color w:val="FFFFFF" w:themeColor="background1"/>
      <w14:textFill>
        <w14:solidFill>
          <w14:schemeClr w14:val="bg1"/>
        </w14:solidFill>
      </w14:textFill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color="FFFFFF" w:themeColor="background1" w:sz="18" w:space="0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color="FFFFFF" w:themeColor="background1" w:sz="18" w:space="0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color="FFFFFF" w:themeColor="background1" w:sz="18" w:space="0"/>
          <w:insideH w:val="nil"/>
          <w:insideV w:val="nil"/>
        </w:tcBorders>
        <w:shd w:val="clear" w:color="auto" w:fill="E36C09" w:themeFill="accent6" w:themeFillShade="BF"/>
      </w:tcPr>
    </w:tblStylePr>
    <w:tblStylePr w:type="lastCol">
      <w:tblPr/>
      <w:tcPr>
        <w:tcBorders>
          <w:top w:val="nil"/>
          <w:left w:val="single" w:color="FFFFFF" w:themeColor="background1" w:sz="18" w:space="0"/>
          <w:bottom w:val="nil"/>
          <w:right w:val="nil"/>
          <w:insideH w:val="nil"/>
          <w:insideV w:val="nil"/>
        </w:tcBorders>
        <w:shd w:val="clear" w:color="auto" w:fill="E36C0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9" w:themeFill="accent6" w:themeFillShade="BF"/>
      </w:tcPr>
    </w:tblStylePr>
  </w:style>
  <w:style w:type="table" w:styleId="117">
    <w:name w:val="Colorful Shading"/>
    <w:basedOn w:val="38"/>
    <w:qFormat/>
    <w:uiPriority w:val="71"/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C0504D" w:themeColor="accent2" w:sz="2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C0504D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6" w:space="0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7F7F7F" w:themeFill="text1" w:themeFillTint="7F"/>
      </w:tcPr>
    </w:tblStylePr>
    <w:tblStylePr w:type="neCell">
      <w:rPr>
        <w:color w:val="000000" w:themeColor="text1"/>
        <w14:textFill>
          <w14:solidFill>
            <w14:schemeClr w14:val="tx1"/>
          </w14:solidFill>
        </w14:textFill>
      </w:rPr>
    </w:tblStylePr>
    <w:tblStylePr w:type="nwCell">
      <w:rPr>
        <w:color w:val="000000" w:themeColor="text1"/>
        <w14:textFill>
          <w14:solidFill>
            <w14:schemeClr w14:val="tx1"/>
          </w14:solidFill>
        </w14:textFill>
      </w:rPr>
    </w:tblStylePr>
  </w:style>
  <w:style w:type="table" w:styleId="118">
    <w:name w:val="Colorful Shading Accent 1"/>
    <w:basedOn w:val="38"/>
    <w:qFormat/>
    <w:uiPriority w:val="71"/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C0504D" w:themeColor="accent2" w:sz="2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C0504D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6" w:space="0"/>
        </w:tcBorders>
        <w:shd w:val="clear" w:color="auto" w:fill="2B4D74" w:themeFill="accent1" w:themeFillShade="99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2B4D74" w:themeFill="accent1" w:themeFillShade="99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4D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C0DE" w:themeFill="accent1" w:themeFillTint="7F"/>
      </w:tcPr>
    </w:tblStylePr>
    <w:tblStylePr w:type="neCell">
      <w:rPr>
        <w:color w:val="000000" w:themeColor="text1"/>
        <w14:textFill>
          <w14:solidFill>
            <w14:schemeClr w14:val="tx1"/>
          </w14:solidFill>
        </w14:textFill>
      </w:rPr>
    </w:tblStylePr>
    <w:tblStylePr w:type="nwCell">
      <w:rPr>
        <w:color w:val="000000" w:themeColor="text1"/>
        <w14:textFill>
          <w14:solidFill>
            <w14:schemeClr w14:val="tx1"/>
          </w14:solidFill>
        </w14:textFill>
      </w:rPr>
    </w:tblStylePr>
  </w:style>
  <w:style w:type="table" w:styleId="119">
    <w:name w:val="Colorful Shading Accent 2"/>
    <w:basedOn w:val="38"/>
    <w:qFormat/>
    <w:uiPriority w:val="71"/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C0504D" w:themeColor="accent2" w:sz="24" w:space="0"/>
        <w:left w:val="single" w:color="C0504D" w:themeColor="accent2" w:sz="4" w:space="0"/>
        <w:bottom w:val="single" w:color="C0504D" w:themeColor="accent2" w:sz="4" w:space="0"/>
        <w:right w:val="single" w:color="C0504D" w:themeColor="accent2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C0504D" w:themeColor="accent2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6" w:space="0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  <w14:textFill>
          <w14:solidFill>
            <w14:schemeClr w14:val="tx1"/>
          </w14:solidFill>
        </w14:textFill>
      </w:rPr>
    </w:tblStylePr>
    <w:tblStylePr w:type="nwCell">
      <w:rPr>
        <w:color w:val="000000" w:themeColor="text1"/>
        <w14:textFill>
          <w14:solidFill>
            <w14:schemeClr w14:val="tx1"/>
          </w14:solidFill>
        </w14:textFill>
      </w:rPr>
    </w:tblStylePr>
  </w:style>
  <w:style w:type="table" w:styleId="120">
    <w:name w:val="Colorful Shading Accent 3"/>
    <w:basedOn w:val="38"/>
    <w:qFormat/>
    <w:uiPriority w:val="71"/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8064A2" w:themeColor="accent4" w:sz="24" w:space="0"/>
        <w:left w:val="single" w:color="9BBB59" w:themeColor="accent3" w:sz="4" w:space="0"/>
        <w:bottom w:val="single" w:color="9BBB59" w:themeColor="accent3" w:sz="4" w:space="0"/>
        <w:right w:val="single" w:color="9BBB59" w:themeColor="accent3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8064A2" w:themeColor="accent4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6" w:space="0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21">
    <w:name w:val="Colorful Shading Accent 4"/>
    <w:basedOn w:val="38"/>
    <w:qFormat/>
    <w:uiPriority w:val="71"/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9BBB59" w:themeColor="accent3" w:sz="24" w:space="0"/>
        <w:left w:val="single" w:color="8064A2" w:themeColor="accent4" w:sz="4" w:space="0"/>
        <w:bottom w:val="single" w:color="8064A2" w:themeColor="accent4" w:sz="4" w:space="0"/>
        <w:right w:val="single" w:color="8064A2" w:themeColor="accent4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5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9BBB59" w:themeColor="accent3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6" w:space="0"/>
        </w:tcBorders>
        <w:shd w:val="clear" w:color="auto" w:fill="4C3A62" w:themeFill="accent4" w:themeFillShade="99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4C3A62" w:themeFill="accent4" w:themeFillShade="99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A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  <w14:textFill>
          <w14:solidFill>
            <w14:schemeClr w14:val="tx1"/>
          </w14:solidFill>
        </w14:textFill>
      </w:rPr>
    </w:tblStylePr>
    <w:tblStylePr w:type="nwCell">
      <w:rPr>
        <w:color w:val="000000" w:themeColor="text1"/>
        <w14:textFill>
          <w14:solidFill>
            <w14:schemeClr w14:val="tx1"/>
          </w14:solidFill>
        </w14:textFill>
      </w:rPr>
    </w:tblStylePr>
  </w:style>
  <w:style w:type="table" w:styleId="122">
    <w:name w:val="Colorful Shading Accent 5"/>
    <w:basedOn w:val="38"/>
    <w:qFormat/>
    <w:uiPriority w:val="71"/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F79646" w:themeColor="accent6" w:sz="2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F79646" w:themeColor="accent6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6" w:space="0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  <w14:textFill>
          <w14:solidFill>
            <w14:schemeClr w14:val="tx1"/>
          </w14:solidFill>
        </w14:textFill>
      </w:rPr>
    </w:tblStylePr>
    <w:tblStylePr w:type="nwCell">
      <w:rPr>
        <w:color w:val="000000" w:themeColor="text1"/>
        <w14:textFill>
          <w14:solidFill>
            <w14:schemeClr w14:val="tx1"/>
          </w14:solidFill>
        </w14:textFill>
      </w:rPr>
    </w:tblStylePr>
  </w:style>
  <w:style w:type="table" w:styleId="123">
    <w:name w:val="Colorful Shading Accent 6"/>
    <w:basedOn w:val="38"/>
    <w:qFormat/>
    <w:uiPriority w:val="71"/>
    <w:rPr>
      <w:color w:val="000000" w:themeColor="text1"/>
      <w14:textFill>
        <w14:solidFill>
          <w14:schemeClr w14:val="tx1"/>
        </w14:solidFill>
      </w14:textFill>
    </w:rPr>
    <w:tblPr>
      <w:tblBorders>
        <w:top w:val="single" w:color="4BACC6" w:themeColor="accent5" w:sz="2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FFFFF" w:themeColor="background1" w:sz="4" w:space="0"/>
        <w:insideV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color="4BACC6" w:themeColor="accent5" w:sz="24" w:space="0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single" w:color="FFFFFF" w:themeColor="background1" w:sz="6" w:space="0"/>
        </w:tcBorders>
        <w:shd w:val="clear" w:color="auto" w:fill="B65607" w:themeFill="accent6" w:themeFillShade="99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single" w:sz="4" w:space="0"/>
          <w:insideV w:val="nil"/>
        </w:tcBorders>
        <w:shd w:val="clear" w:color="auto" w:fill="B65607" w:themeFill="accent6" w:themeFillShade="99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7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  <w14:textFill>
          <w14:solidFill>
            <w14:schemeClr w14:val="tx1"/>
          </w14:solidFill>
        </w14:textFill>
      </w:rPr>
    </w:tblStylePr>
    <w:tblStylePr w:type="nwCell">
      <w:rPr>
        <w:color w:val="000000" w:themeColor="text1"/>
        <w14:textFill>
          <w14:solidFill>
            <w14:schemeClr w14:val="tx1"/>
          </w14:solidFill>
        </w14:textFill>
      </w:rPr>
    </w:tblStylePr>
  </w:style>
  <w:style w:type="table" w:styleId="124">
    <w:name w:val="Colorful List"/>
    <w:basedOn w:val="38"/>
    <w:qFormat/>
    <w:uiPriority w:val="72"/>
    <w:rPr>
      <w:color w:val="000000" w:themeColor="text1"/>
      <w14:textFill>
        <w14:solidFill>
          <w14:schemeClr w14:val="tx1"/>
        </w14:solidFill>
      </w14:textFill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E5E5" w:themeFill="text1" w:themeFillTint="19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bottom w:val="single" w:color="FFFFFF" w:themeColor="background1" w:sz="12" w:space="0"/>
        </w:tcBorders>
        <w:shd w:val="clear" w:color="auto" w:fill="9E3A38" w:themeFill="accent2" w:themeFillShade="CC"/>
      </w:tcPr>
    </w:tblStylePr>
    <w:tblStylePr w:type="lastRow">
      <w:rPr>
        <w:b/>
        <w:bCs/>
        <w:color w:val="9F3B38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BFBF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25">
    <w:name w:val="Colorful List Accent 1"/>
    <w:basedOn w:val="38"/>
    <w:qFormat/>
    <w:uiPriority w:val="72"/>
    <w:rPr>
      <w:color w:val="000000" w:themeColor="text1"/>
      <w14:textFill>
        <w14:solidFill>
          <w14:schemeClr w14:val="tx1"/>
        </w14:solidFill>
      </w14:textFill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bottom w:val="single" w:color="FFFFFF" w:themeColor="background1" w:sz="12" w:space="0"/>
        </w:tcBorders>
        <w:shd w:val="clear" w:color="auto" w:fill="9E3A38" w:themeFill="accent2" w:themeFillShade="CC"/>
      </w:tcPr>
    </w:tblStylePr>
    <w:tblStylePr w:type="lastRow">
      <w:rPr>
        <w:b/>
        <w:bCs/>
        <w:color w:val="9F3B38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126">
    <w:name w:val="Colorful List Accent 2"/>
    <w:basedOn w:val="38"/>
    <w:qFormat/>
    <w:uiPriority w:val="72"/>
    <w:rPr>
      <w:color w:val="000000" w:themeColor="text1"/>
      <w14:textFill>
        <w14:solidFill>
          <w14:schemeClr w14:val="tx1"/>
        </w14:solidFill>
      </w14:textFill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bottom w:val="single" w:color="FFFFFF" w:themeColor="background1" w:sz="12" w:space="0"/>
        </w:tcBorders>
        <w:shd w:val="clear" w:color="auto" w:fill="9E3A38" w:themeFill="accent2" w:themeFillShade="CC"/>
      </w:tcPr>
    </w:tblStylePr>
    <w:tblStylePr w:type="lastRow">
      <w:rPr>
        <w:b/>
        <w:bCs/>
        <w:color w:val="9F3B38" w:themeColor="accent2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3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127">
    <w:name w:val="Colorful List Accent 3"/>
    <w:basedOn w:val="38"/>
    <w:qFormat/>
    <w:uiPriority w:val="72"/>
    <w:rPr>
      <w:color w:val="000000" w:themeColor="text1"/>
      <w14:textFill>
        <w14:solidFill>
          <w14:schemeClr w14:val="tx1"/>
        </w14:solidFill>
      </w14:textFill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bottom w:val="single" w:color="FFFFFF" w:themeColor="background1" w:sz="12" w:space="0"/>
        </w:tcBorders>
        <w:shd w:val="clear" w:color="auto" w:fill="664E82" w:themeFill="accent4" w:themeFillShade="CC"/>
      </w:tcPr>
    </w:tblStylePr>
    <w:tblStylePr w:type="lastRow">
      <w:rPr>
        <w:b/>
        <w:bCs/>
        <w:color w:val="664F83" w:themeColor="accent4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128">
    <w:name w:val="Colorful List Accent 4"/>
    <w:basedOn w:val="38"/>
    <w:qFormat/>
    <w:uiPriority w:val="72"/>
    <w:rPr>
      <w:color w:val="000000" w:themeColor="text1"/>
      <w14:textFill>
        <w14:solidFill>
          <w14:schemeClr w14:val="tx1"/>
        </w14:solidFill>
      </w14:textFill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5" w:themeFill="accent4" w:themeFillTint="19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bottom w:val="single" w:color="FFFFFF" w:themeColor="background1" w:sz="12" w:space="0"/>
        </w:tcBorders>
        <w:shd w:val="clear" w:color="auto" w:fill="7E9C40" w:themeFill="accent3" w:themeFillShade="CC"/>
      </w:tcPr>
    </w:tblStylePr>
    <w:tblStylePr w:type="lastRow">
      <w:rPr>
        <w:b/>
        <w:bCs/>
        <w:color w:val="7E9D40" w:themeColor="accent3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129">
    <w:name w:val="Colorful List Accent 5"/>
    <w:basedOn w:val="38"/>
    <w:qFormat/>
    <w:uiPriority w:val="72"/>
    <w:rPr>
      <w:color w:val="000000" w:themeColor="text1"/>
      <w14:textFill>
        <w14:solidFill>
          <w14:schemeClr w14:val="tx1"/>
        </w14:solidFill>
      </w14:textFill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bottom w:val="single" w:color="FFFFFF" w:themeColor="background1" w:sz="12" w:space="0"/>
        </w:tcBorders>
        <w:shd w:val="clear" w:color="auto" w:fill="F3730A" w:themeFill="accent6" w:themeFillShade="CC"/>
      </w:tcPr>
    </w:tblStylePr>
    <w:tblStylePr w:type="lastRow">
      <w:rPr>
        <w:b/>
        <w:bCs/>
        <w:color w:val="F3740B" w:themeColor="accent6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0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130">
    <w:name w:val="Colorful List Accent 6"/>
    <w:basedOn w:val="38"/>
    <w:qFormat/>
    <w:uiPriority w:val="72"/>
    <w:rPr>
      <w:color w:val="000000" w:themeColor="text1"/>
      <w14:textFill>
        <w14:solidFill>
          <w14:schemeClr w14:val="tx1"/>
        </w14:solidFill>
      </w14:textFill>
    </w:rPr>
    <w:tblPr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  <w14:textFill>
          <w14:solidFill>
            <w14:schemeClr w14:val="bg1"/>
          </w14:solidFill>
        </w14:textFill>
      </w:rPr>
      <w:tblPr/>
      <w:tcPr>
        <w:tcBorders>
          <w:bottom w:val="single" w:color="FFFFFF" w:themeColor="background1" w:sz="12" w:space="0"/>
        </w:tcBorders>
        <w:shd w:val="clear" w:color="auto" w:fill="348DA5" w:themeFill="accent5" w:themeFillShade="CC"/>
      </w:tcPr>
    </w:tblStylePr>
    <w:tblStylePr w:type="lastRow">
      <w:rPr>
        <w:b/>
        <w:bCs/>
        <w:color w:val="358EA6" w:themeColor="accent5" w:themeShade="CC"/>
      </w:rPr>
      <w:tblPr/>
      <w:tcPr>
        <w:tcBorders>
          <w:top w:val="single" w:color="000000" w:themeColor="text1" w:sz="12" w:space="0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5D1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131">
    <w:name w:val="Colorful Grid"/>
    <w:basedOn w:val="38"/>
    <w:qFormat/>
    <w:uiPriority w:val="73"/>
    <w:rPr>
      <w:color w:val="000000" w:themeColor="text1"/>
      <w14:textFill>
        <w14:solidFill>
          <w14:schemeClr w14:val="tx1"/>
        </w14:solidFill>
      </w14:textFill>
    </w:rPr>
    <w:tblPr>
      <w:tblBorders>
        <w:insideH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7F7F7F" w:themeFill="text1" w:themeFillTint="7F"/>
      </w:tcPr>
    </w:tblStylePr>
    <w:tblStylePr w:type="band1Horz">
      <w:tblPr/>
      <w:tcPr>
        <w:shd w:val="clear" w:color="auto" w:fill="7F7F7F" w:themeFill="text1" w:themeFillTint="7F"/>
      </w:tcPr>
    </w:tblStylePr>
  </w:style>
  <w:style w:type="table" w:styleId="132">
    <w:name w:val="Colorful Grid Accent 1"/>
    <w:basedOn w:val="38"/>
    <w:qFormat/>
    <w:uiPriority w:val="73"/>
    <w:rPr>
      <w:color w:val="000000" w:themeColor="text1"/>
      <w14:textFill>
        <w14:solidFill>
          <w14:schemeClr w14:val="tx1"/>
        </w14:solidFill>
      </w14:textFill>
    </w:rPr>
    <w:tblPr>
      <w:tblBorders>
        <w:insideH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366091" w:themeFill="accent1" w:themeFillShade="BF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366091" w:themeFill="accent1" w:themeFillShade="BF"/>
      </w:tcPr>
    </w:tblStylePr>
    <w:tblStylePr w:type="band1Vert">
      <w:tblPr/>
      <w:tcPr>
        <w:shd w:val="clear" w:color="auto" w:fill="A7C0DE" w:themeFill="accent1" w:themeFillTint="7F"/>
      </w:tcPr>
    </w:tblStylePr>
    <w:tblStylePr w:type="band1Horz">
      <w:tblPr/>
      <w:tcPr>
        <w:shd w:val="clear" w:color="auto" w:fill="A7C0DE" w:themeFill="accent1" w:themeFillTint="7F"/>
      </w:tcPr>
    </w:tblStylePr>
  </w:style>
  <w:style w:type="table" w:styleId="133">
    <w:name w:val="Colorful Grid Accent 2"/>
    <w:basedOn w:val="38"/>
    <w:qFormat/>
    <w:uiPriority w:val="73"/>
    <w:rPr>
      <w:color w:val="000000" w:themeColor="text1"/>
      <w14:textFill>
        <w14:solidFill>
          <w14:schemeClr w14:val="tx1"/>
        </w14:solidFill>
      </w14:textFill>
    </w:rPr>
    <w:tblPr>
      <w:tblBorders>
        <w:insideH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943734" w:themeFill="accent2" w:themeFillShade="BF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9437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34">
    <w:name w:val="Colorful Grid Accent 3"/>
    <w:basedOn w:val="38"/>
    <w:qFormat/>
    <w:uiPriority w:val="73"/>
    <w:rPr>
      <w:color w:val="000000" w:themeColor="text1"/>
      <w14:textFill>
        <w14:solidFill>
          <w14:schemeClr w14:val="tx1"/>
        </w14:solidFill>
      </w14:textFill>
    </w:rPr>
    <w:tblPr>
      <w:tblBorders>
        <w:insideH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35">
    <w:name w:val="Colorful Grid Accent 4"/>
    <w:basedOn w:val="38"/>
    <w:qFormat/>
    <w:uiPriority w:val="73"/>
    <w:rPr>
      <w:color w:val="000000" w:themeColor="text1"/>
      <w14:textFill>
        <w14:solidFill>
          <w14:schemeClr w14:val="tx1"/>
        </w14:solidFill>
      </w14:textFill>
    </w:rPr>
    <w:tblPr>
      <w:tblBorders>
        <w:insideH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36">
    <w:name w:val="Colorful Grid Accent 5"/>
    <w:basedOn w:val="38"/>
    <w:qFormat/>
    <w:uiPriority w:val="73"/>
    <w:rPr>
      <w:color w:val="000000" w:themeColor="text1"/>
      <w14:textFill>
        <w14:solidFill>
          <w14:schemeClr w14:val="tx1"/>
        </w14:solidFill>
      </w14:textFill>
    </w:rPr>
    <w:tblPr>
      <w:tblBorders>
        <w:insideH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37">
    <w:name w:val="Colorful Grid Accent 6"/>
    <w:basedOn w:val="38"/>
    <w:qFormat/>
    <w:uiPriority w:val="73"/>
    <w:rPr>
      <w:color w:val="000000" w:themeColor="text1"/>
      <w14:textFill>
        <w14:solidFill>
          <w14:schemeClr w14:val="tx1"/>
        </w14:solidFill>
      </w14:textFill>
    </w:rPr>
    <w:tblPr>
      <w:tblBorders>
        <w:insideH w:val="single" w:color="FFFFFF" w:themeColor="background1" w:sz="4" w:space="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  <w14:textFill>
          <w14:solidFill>
            <w14:schemeClr w14:val="tx1"/>
          </w14:solidFill>
        </w14:textFill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E36C09" w:themeFill="accent6" w:themeFillShade="BF"/>
      </w:tcPr>
    </w:tblStylePr>
    <w:tblStylePr w:type="lastCol">
      <w:rPr>
        <w:color w:val="FFFFFF" w:themeColor="background1"/>
        <w14:textFill>
          <w14:solidFill>
            <w14:schemeClr w14:val="bg1"/>
          </w14:solidFill>
        </w14:textFill>
      </w:rPr>
      <w:tblPr/>
      <w:tcPr>
        <w:shd w:val="clear" w:color="auto" w:fill="E36C09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character" w:styleId="139">
    <w:name w:val="Strong"/>
    <w:basedOn w:val="138"/>
    <w:qFormat/>
    <w:uiPriority w:val="22"/>
    <w:rPr>
      <w:b/>
      <w:bCs/>
    </w:rPr>
  </w:style>
  <w:style w:type="character" w:styleId="140">
    <w:name w:val="Emphasis"/>
    <w:basedOn w:val="138"/>
    <w:qFormat/>
    <w:uiPriority w:val="20"/>
    <w:rPr>
      <w:i/>
      <w:iCs/>
    </w:rPr>
  </w:style>
  <w:style w:type="paragraph" w:customStyle="1" w:styleId="141">
    <w:name w:val="首行缩进"/>
    <w:basedOn w:val="1"/>
    <w:qFormat/>
    <w:uiPriority w:val="0"/>
    <w:pPr>
      <w:ind w:firstLine="480" w:firstLineChars="200"/>
    </w:pPr>
    <w:rPr>
      <w:lang w:val="zh-CN"/>
    </w:rPr>
  </w:style>
  <w:style w:type="character" w:customStyle="1" w:styleId="142">
    <w:name w:val="页眉 Char"/>
    <w:basedOn w:val="138"/>
    <w:link w:val="27"/>
    <w:qFormat/>
    <w:uiPriority w:val="99"/>
  </w:style>
  <w:style w:type="character" w:customStyle="1" w:styleId="143">
    <w:name w:val="页脚 Char"/>
    <w:basedOn w:val="138"/>
    <w:link w:val="26"/>
    <w:qFormat/>
    <w:uiPriority w:val="99"/>
  </w:style>
  <w:style w:type="paragraph" w:customStyle="1" w:styleId="144">
    <w:name w:val="无间隔1"/>
    <w:qFormat/>
    <w:uiPriority w:val="1"/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character" w:customStyle="1" w:styleId="145">
    <w:name w:val="标题 1 Char"/>
    <w:basedOn w:val="138"/>
    <w:link w:val="4"/>
    <w:qFormat/>
    <w:uiPriority w:val="9"/>
    <w:rPr>
      <w:rFonts w:asciiTheme="majorHAnsi" w:hAnsiTheme="majorHAnsi" w:eastAsiaTheme="majorEastAsia" w:cstheme="majorBidi"/>
      <w:b/>
      <w:bCs/>
      <w:color w:val="376092" w:themeColor="accent1" w:themeShade="BF"/>
      <w:sz w:val="28"/>
      <w:szCs w:val="28"/>
    </w:rPr>
  </w:style>
  <w:style w:type="character" w:customStyle="1" w:styleId="146">
    <w:name w:val="标题 2 Char"/>
    <w:basedOn w:val="138"/>
    <w:link w:val="5"/>
    <w:qFormat/>
    <w:uiPriority w:val="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  <w14:textFill>
        <w14:solidFill>
          <w14:schemeClr w14:val="accent1"/>
        </w14:solidFill>
      </w14:textFill>
    </w:rPr>
  </w:style>
  <w:style w:type="character" w:customStyle="1" w:styleId="147">
    <w:name w:val="标题 3 Char"/>
    <w:basedOn w:val="138"/>
    <w:link w:val="6"/>
    <w:qFormat/>
    <w:uiPriority w:val="9"/>
    <w:rPr>
      <w:rFonts w:asciiTheme="majorHAnsi" w:hAnsiTheme="majorHAnsi" w:eastAsiaTheme="majorEastAsia" w:cstheme="majorBidi"/>
      <w:b/>
      <w:bCs/>
      <w:color w:val="4F81BD" w:themeColor="accent1"/>
      <w14:textFill>
        <w14:solidFill>
          <w14:schemeClr w14:val="accent1"/>
        </w14:solidFill>
      </w14:textFill>
    </w:rPr>
  </w:style>
  <w:style w:type="character" w:customStyle="1" w:styleId="148">
    <w:name w:val="标题 Char"/>
    <w:basedOn w:val="138"/>
    <w:link w:val="36"/>
    <w:qFormat/>
    <w:uiPriority w:val="10"/>
    <w:rPr>
      <w:rFonts w:asciiTheme="majorHAnsi" w:hAnsiTheme="majorHAnsi" w:eastAsiaTheme="majorEastAsia" w:cstheme="majorBidi"/>
      <w:color w:val="17375E" w:themeColor="text2" w:themeShade="BF"/>
      <w:spacing w:val="5"/>
      <w:kern w:val="28"/>
      <w:sz w:val="52"/>
      <w:szCs w:val="52"/>
    </w:rPr>
  </w:style>
  <w:style w:type="character" w:customStyle="1" w:styleId="149">
    <w:name w:val="副标题 Char"/>
    <w:basedOn w:val="138"/>
    <w:link w:val="29"/>
    <w:qFormat/>
    <w:uiPriority w:val="11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  <w14:textFill>
        <w14:solidFill>
          <w14:schemeClr w14:val="accent1"/>
        </w14:solidFill>
      </w14:textFill>
    </w:rPr>
  </w:style>
  <w:style w:type="paragraph" w:customStyle="1" w:styleId="150">
    <w:name w:val="列出段落1"/>
    <w:basedOn w:val="1"/>
    <w:qFormat/>
    <w:uiPriority w:val="34"/>
    <w:pPr>
      <w:ind w:left="720"/>
      <w:contextualSpacing/>
    </w:pPr>
  </w:style>
  <w:style w:type="character" w:customStyle="1" w:styleId="151">
    <w:name w:val="正文文本 Char"/>
    <w:basedOn w:val="138"/>
    <w:link w:val="2"/>
    <w:qFormat/>
    <w:uiPriority w:val="99"/>
  </w:style>
  <w:style w:type="character" w:customStyle="1" w:styleId="152">
    <w:name w:val="正文文本 2 Char"/>
    <w:basedOn w:val="138"/>
    <w:link w:val="32"/>
    <w:qFormat/>
    <w:uiPriority w:val="99"/>
  </w:style>
  <w:style w:type="character" w:customStyle="1" w:styleId="153">
    <w:name w:val="正文文本 3 Char"/>
    <w:basedOn w:val="138"/>
    <w:link w:val="19"/>
    <w:qFormat/>
    <w:uiPriority w:val="99"/>
    <w:rPr>
      <w:sz w:val="16"/>
      <w:szCs w:val="16"/>
    </w:rPr>
  </w:style>
  <w:style w:type="character" w:customStyle="1" w:styleId="154">
    <w:name w:val="宏文本 Char"/>
    <w:basedOn w:val="138"/>
    <w:link w:val="3"/>
    <w:qFormat/>
    <w:uiPriority w:val="99"/>
    <w:rPr>
      <w:rFonts w:ascii="Courier" w:hAnsi="Courier"/>
      <w:sz w:val="20"/>
      <w:szCs w:val="20"/>
    </w:rPr>
  </w:style>
  <w:style w:type="paragraph" w:customStyle="1" w:styleId="155">
    <w:name w:val="引用1"/>
    <w:basedOn w:val="1"/>
    <w:next w:val="1"/>
    <w:link w:val="156"/>
    <w:qFormat/>
    <w:uiPriority w:val="29"/>
    <w:rPr>
      <w:i/>
      <w:iCs/>
      <w:color w:val="000000" w:themeColor="text1"/>
      <w14:textFill>
        <w14:solidFill>
          <w14:schemeClr w14:val="tx1"/>
        </w14:solidFill>
      </w14:textFill>
    </w:rPr>
  </w:style>
  <w:style w:type="character" w:customStyle="1" w:styleId="156">
    <w:name w:val="Quote Char"/>
    <w:basedOn w:val="138"/>
    <w:link w:val="155"/>
    <w:qFormat/>
    <w:uiPriority w:val="29"/>
    <w:rPr>
      <w:i/>
      <w:iCs/>
      <w:color w:val="000000" w:themeColor="text1"/>
      <w14:textFill>
        <w14:solidFill>
          <w14:schemeClr w14:val="tx1"/>
        </w14:solidFill>
      </w14:textFill>
    </w:rPr>
  </w:style>
  <w:style w:type="character" w:customStyle="1" w:styleId="157">
    <w:name w:val="标题 4 Char"/>
    <w:basedOn w:val="138"/>
    <w:link w:val="7"/>
    <w:semiHidden/>
    <w:qFormat/>
    <w:uiPriority w:val="9"/>
    <w:rPr>
      <w:rFonts w:asciiTheme="majorHAnsi" w:hAnsiTheme="majorHAnsi" w:eastAsiaTheme="majorEastAsia" w:cstheme="majorBidi"/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character" w:customStyle="1" w:styleId="158">
    <w:name w:val="标题 5 Char"/>
    <w:basedOn w:val="138"/>
    <w:link w:val="8"/>
    <w:semiHidden/>
    <w:qFormat/>
    <w:uiPriority w:val="9"/>
    <w:rPr>
      <w:rFonts w:asciiTheme="majorHAnsi" w:hAnsiTheme="majorHAnsi" w:eastAsiaTheme="majorEastAsia" w:cstheme="majorBidi"/>
      <w:color w:val="254061" w:themeColor="accent1" w:themeShade="80"/>
    </w:rPr>
  </w:style>
  <w:style w:type="character" w:customStyle="1" w:styleId="159">
    <w:name w:val="标题 6 Char"/>
    <w:basedOn w:val="138"/>
    <w:link w:val="9"/>
    <w:semiHidden/>
    <w:qFormat/>
    <w:uiPriority w:val="9"/>
    <w:rPr>
      <w:rFonts w:asciiTheme="majorHAnsi" w:hAnsiTheme="majorHAnsi" w:eastAsiaTheme="majorEastAsia" w:cstheme="majorBidi"/>
      <w:i/>
      <w:iCs/>
      <w:color w:val="254061" w:themeColor="accent1" w:themeShade="80"/>
    </w:rPr>
  </w:style>
  <w:style w:type="character" w:customStyle="1" w:styleId="160">
    <w:name w:val="标题 7 Char"/>
    <w:basedOn w:val="138"/>
    <w:link w:val="10"/>
    <w:semiHidden/>
    <w:qFormat/>
    <w:uiPriority w:val="9"/>
    <w:rPr>
      <w:rFonts w:asciiTheme="majorHAnsi" w:hAnsiTheme="majorHAnsi" w:eastAsiaTheme="majorEastAsia" w:cstheme="majorBidi"/>
      <w:i/>
      <w:iCs/>
      <w:color w:val="404040" w:themeColor="text1" w:themeTint="BF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character" w:customStyle="1" w:styleId="161">
    <w:name w:val="标题 8 Char"/>
    <w:basedOn w:val="138"/>
    <w:link w:val="11"/>
    <w:semiHidden/>
    <w:qFormat/>
    <w:uiPriority w:val="9"/>
    <w:rPr>
      <w:rFonts w:asciiTheme="majorHAnsi" w:hAnsiTheme="majorHAnsi" w:eastAsiaTheme="majorEastAsia" w:cstheme="majorBidi"/>
      <w:color w:val="4F81BD" w:themeColor="accent1"/>
      <w:sz w:val="20"/>
      <w:szCs w:val="20"/>
      <w14:textFill>
        <w14:solidFill>
          <w14:schemeClr w14:val="accent1"/>
        </w14:solidFill>
      </w14:textFill>
    </w:rPr>
  </w:style>
  <w:style w:type="character" w:customStyle="1" w:styleId="162">
    <w:name w:val="标题 9 Char"/>
    <w:basedOn w:val="138"/>
    <w:link w:val="12"/>
    <w:semiHidden/>
    <w:qFormat/>
    <w:uiPriority w:val="9"/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  <w14:textFill>
        <w14:solidFill>
          <w14:schemeClr w14:val="tx1">
            <w14:lumMod w14:val="75000"/>
            <w14:lumOff w14:val="25000"/>
          </w14:schemeClr>
        </w14:solidFill>
      </w14:textFill>
    </w:rPr>
  </w:style>
  <w:style w:type="paragraph" w:customStyle="1" w:styleId="163">
    <w:name w:val="明显引用1"/>
    <w:basedOn w:val="1"/>
    <w:next w:val="1"/>
    <w:link w:val="164"/>
    <w:qFormat/>
    <w:uiPriority w:val="30"/>
    <w:pPr>
      <w:pBdr>
        <w:bottom w:val="single" w:color="4F81BD" w:themeColor="accent1" w:sz="4" w:space="4"/>
      </w:pBdr>
      <w:spacing w:before="200" w:after="280"/>
      <w:ind w:left="936" w:right="936"/>
    </w:pPr>
    <w:rPr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character" w:customStyle="1" w:styleId="164">
    <w:name w:val="Intense Quote Char"/>
    <w:basedOn w:val="138"/>
    <w:link w:val="163"/>
    <w:qFormat/>
    <w:uiPriority w:val="30"/>
    <w:rPr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character" w:customStyle="1" w:styleId="165">
    <w:name w:val="不明显强调1"/>
    <w:basedOn w:val="138"/>
    <w:qFormat/>
    <w:uiPriority w:val="19"/>
    <w:rPr>
      <w:i/>
      <w:iCs/>
      <w:color w:val="808080" w:themeColor="text1" w:themeTint="80"/>
      <w14:textFill>
        <w14:solidFill>
          <w14:schemeClr w14:val="tx1">
            <w14:lumMod w14:val="50000"/>
            <w14:lumOff w14:val="50000"/>
          </w14:schemeClr>
        </w14:solidFill>
      </w14:textFill>
    </w:rPr>
  </w:style>
  <w:style w:type="character" w:customStyle="1" w:styleId="166">
    <w:name w:val="明显强调1"/>
    <w:basedOn w:val="138"/>
    <w:qFormat/>
    <w:uiPriority w:val="21"/>
    <w:rPr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character" w:customStyle="1" w:styleId="167">
    <w:name w:val="不明显参考1"/>
    <w:basedOn w:val="138"/>
    <w:qFormat/>
    <w:uiPriority w:val="31"/>
    <w:rPr>
      <w:smallCaps/>
      <w:color w:val="C0504D" w:themeColor="accent2"/>
      <w:u w:val="single"/>
      <w14:textFill>
        <w14:solidFill>
          <w14:schemeClr w14:val="accent2"/>
        </w14:solidFill>
      </w14:textFill>
    </w:rPr>
  </w:style>
  <w:style w:type="character" w:customStyle="1" w:styleId="168">
    <w:name w:val="明显参考1"/>
    <w:basedOn w:val="138"/>
    <w:qFormat/>
    <w:uiPriority w:val="32"/>
    <w:rPr>
      <w:b/>
      <w:bCs/>
      <w:smallCaps/>
      <w:color w:val="C0504D" w:themeColor="accent2"/>
      <w:spacing w:val="5"/>
      <w:u w:val="single"/>
      <w14:textFill>
        <w14:solidFill>
          <w14:schemeClr w14:val="accent2"/>
        </w14:solidFill>
      </w14:textFill>
    </w:rPr>
  </w:style>
  <w:style w:type="character" w:customStyle="1" w:styleId="169">
    <w:name w:val="书籍标题1"/>
    <w:basedOn w:val="138"/>
    <w:qFormat/>
    <w:uiPriority w:val="33"/>
    <w:rPr>
      <w:b/>
      <w:bCs/>
      <w:smallCaps/>
      <w:spacing w:val="5"/>
    </w:rPr>
  </w:style>
  <w:style w:type="paragraph" w:customStyle="1" w:styleId="170">
    <w:name w:val="TOC 标题1"/>
    <w:basedOn w:val="4"/>
    <w:next w:val="1"/>
    <w:unhideWhenUsed/>
    <w:qFormat/>
    <w:uiPriority w:val="39"/>
    <w:pPr>
      <w:outlineLvl w:val="9"/>
    </w:pPr>
  </w:style>
  <w:style w:type="character" w:customStyle="1" w:styleId="171">
    <w:name w:val="font31"/>
    <w:basedOn w:val="138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72">
    <w:name w:val="font01"/>
    <w:basedOn w:val="138"/>
    <w:qFormat/>
    <w:uiPriority w:val="0"/>
    <w:rPr>
      <w:rFonts w:hint="default" w:ascii="Calibri" w:hAnsi="Calibri" w:cs="Calibri"/>
      <w:color w:val="000000"/>
      <w:sz w:val="22"/>
      <w:szCs w:val="22"/>
      <w:u w:val="none"/>
    </w:rPr>
  </w:style>
  <w:style w:type="character" w:customStyle="1" w:styleId="173">
    <w:name w:val="font21"/>
    <w:basedOn w:val="138"/>
    <w:qFormat/>
    <w:uiPriority w:val="0"/>
    <w:rPr>
      <w:rFonts w:hint="eastAsia" w:ascii="宋体" w:hAnsi="宋体" w:eastAsia="宋体" w:cs="宋体"/>
      <w:b/>
      <w:bCs/>
      <w:color w:val="000000"/>
      <w:sz w:val="21"/>
      <w:szCs w:val="21"/>
      <w:u w:val="none"/>
    </w:rPr>
  </w:style>
  <w:style w:type="character" w:customStyle="1" w:styleId="174">
    <w:name w:val="font11"/>
    <w:basedOn w:val="138"/>
    <w:qFormat/>
    <w:uiPriority w:val="0"/>
    <w:rPr>
      <w:rFonts w:ascii="Calibri" w:hAnsi="Calibri" w:cs="Calibri"/>
      <w:color w:val="000000"/>
      <w:sz w:val="22"/>
      <w:szCs w:val="22"/>
      <w:u w:val="none"/>
    </w:rPr>
  </w:style>
  <w:style w:type="character" w:customStyle="1" w:styleId="175">
    <w:name w:val="font41"/>
    <w:basedOn w:val="138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paragraph" w:customStyle="1" w:styleId="176">
    <w:name w:val="正文二级标题"/>
    <w:basedOn w:val="1"/>
    <w:link w:val="180"/>
    <w:qFormat/>
    <w:uiPriority w:val="0"/>
    <w:pPr>
      <w:snapToGrid w:val="0"/>
      <w:spacing w:line="360" w:lineRule="auto"/>
      <w:ind w:firstLine="200" w:firstLineChars="200"/>
      <w:outlineLvl w:val="1"/>
    </w:pPr>
    <w:rPr>
      <w:rFonts w:ascii="楷体" w:hAnsi="楷体" w:eastAsia="楷体"/>
      <w:sz w:val="30"/>
      <w:szCs w:val="30"/>
    </w:rPr>
  </w:style>
  <w:style w:type="paragraph" w:customStyle="1" w:styleId="177">
    <w:name w:val="考务细则 正文"/>
    <w:basedOn w:val="1"/>
    <w:qFormat/>
    <w:uiPriority w:val="0"/>
    <w:pPr>
      <w:snapToGrid w:val="0"/>
      <w:spacing w:line="360" w:lineRule="auto"/>
      <w:ind w:firstLine="600" w:firstLineChars="200"/>
    </w:pPr>
    <w:rPr>
      <w:sz w:val="30"/>
      <w:szCs w:val="30"/>
    </w:rPr>
  </w:style>
  <w:style w:type="paragraph" w:customStyle="1" w:styleId="178">
    <w:name w:val="正文小标题"/>
    <w:basedOn w:val="1"/>
    <w:qFormat/>
    <w:uiPriority w:val="0"/>
    <w:pPr>
      <w:jc w:val="center"/>
      <w:outlineLvl w:val="1"/>
    </w:pPr>
    <w:rPr>
      <w:rFonts w:eastAsia="方正小标宋简体"/>
      <w:sz w:val="28"/>
      <w:szCs w:val="21"/>
    </w:rPr>
  </w:style>
  <w:style w:type="paragraph" w:customStyle="1" w:styleId="179">
    <w:name w:val="正文一级标题"/>
    <w:basedOn w:val="1"/>
    <w:qFormat/>
    <w:uiPriority w:val="0"/>
    <w:pPr>
      <w:snapToGrid w:val="0"/>
      <w:spacing w:line="360" w:lineRule="auto"/>
      <w:ind w:firstLine="600" w:firstLineChars="200"/>
      <w:outlineLvl w:val="0"/>
    </w:pPr>
    <w:rPr>
      <w:rFonts w:ascii="黑体" w:hAnsi="黑体" w:eastAsia="黑体"/>
      <w:sz w:val="30"/>
      <w:szCs w:val="30"/>
    </w:rPr>
  </w:style>
  <w:style w:type="character" w:customStyle="1" w:styleId="180">
    <w:name w:val="正文二级标题 字符"/>
    <w:basedOn w:val="138"/>
    <w:link w:val="176"/>
    <w:qFormat/>
    <w:uiPriority w:val="0"/>
    <w:rPr>
      <w:rFonts w:ascii="楷体" w:hAnsi="楷体" w:eastAsia="楷体"/>
      <w:sz w:val="30"/>
      <w:szCs w:val="30"/>
    </w:rPr>
  </w:style>
  <w:style w:type="paragraph" w:customStyle="1" w:styleId="181">
    <w:name w:val="p"/>
    <w:basedOn w:val="1"/>
    <w:qFormat/>
    <w:uiPriority w:val="0"/>
    <w:pPr>
      <w:spacing w:line="525" w:lineRule="atLeast"/>
      <w:ind w:firstLine="375"/>
    </w:pPr>
  </w:style>
  <w:style w:type="paragraph" w:styleId="182">
    <w:name w:val="List Paragraph"/>
    <w:basedOn w:val="1"/>
    <w:unhideWhenUsed/>
    <w:uiPriority w:val="99"/>
    <w:pPr>
      <w:ind w:firstLine="420" w:firstLineChars="200"/>
    </w:pPr>
  </w:style>
  <w:style w:type="paragraph" w:customStyle="1" w:styleId="183">
    <w:name w:val="WPSOffice手动目录 1"/>
    <w:uiPriority w:val="0"/>
    <w:pPr>
      <w:ind w:leftChars="0"/>
    </w:pPr>
    <w:rPr>
      <w:sz w:val="20"/>
      <w:szCs w:val="20"/>
    </w:rPr>
  </w:style>
  <w:style w:type="paragraph" w:customStyle="1" w:styleId="184">
    <w:name w:val="WPSOffice手动目录 2"/>
    <w:uiPriority w:val="0"/>
    <w:pPr>
      <w:ind w:leftChars="200"/>
    </w:pPr>
    <w:rPr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14</Pages>
  <Words>5134</Words>
  <Characters>5496</Characters>
  <Lines>40</Lines>
  <Paragraphs>11</Paragraphs>
  <TotalTime>1</TotalTime>
  <ScaleCrop>false</ScaleCrop>
  <LinksUpToDate>false</LinksUpToDate>
  <CharactersWithSpaces>6001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2022-10-19T08:17:00Z</dcterms:created>
  <dc:creator>python-docx</dc:creator>
  <dc:description>generated by python-docx</dc:description>
  <cp:lastModifiedBy>文龄</cp:lastModifiedBy>
  <cp:lastPrinted>2022-10-14T07:06:00Z</cp:lastPrinted>
  <dcterms:modified xsi:type="dcterms:W3CDTF">2022-12-14T08:17:35Z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188C74C3DCB54569A152B92DE78C604B</vt:lpwstr>
  </property>
</Properties>
</file>