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方正大标宋简体" w:eastAsia="黑体"/>
        </w:rPr>
      </w:pPr>
      <w:r>
        <w:rPr>
          <w:rFonts w:ascii="黑体" w:hAnsi="方正大标宋简体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-271780</wp:posOffset>
                </wp:positionV>
                <wp:extent cx="1589405" cy="442595"/>
                <wp:effectExtent l="0" t="0" r="10795" b="19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66" w:lineRule="atLeast"/>
                              <w:rPr>
                                <w:rFonts w:hint="eastAsia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31"/>
                              </w:rPr>
                              <w:t>SDDR-20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</w:rPr>
                              <w:t>-0000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snapToGrid w:val="0"/>
                              <w:spacing w:line="620" w:lineRule="exact"/>
                            </w:pPr>
                          </w:p>
                          <w:p>
                            <w:pPr>
                              <w:snapToGrid w:val="0"/>
                              <w:spacing w:line="620" w:lineRule="exac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-21.4pt;height:34.85pt;width:125.15pt;z-index:251659264;mso-width-relative:page;mso-height-relative:page;" fillcolor="#FFFFFF" filled="t" stroked="f" coordsize="21600,21600" o:gfxdata="UEsDBAoAAAAAAIdO4kAAAAAAAAAAAAAAAAAEAAAAZHJzL1BLAwQUAAAACACHTuJAuiM6R9YAAAAJ&#10;AQAADwAAAGRycy9kb3ducmV2LnhtbE2PwU7DMBBE70j8g7VIXFBrN4IIQpxKtHCDQ0vV8zY2SUS8&#10;jmynaf+e7YneZrRPszPl8uR6cbQhdp40LOYKhKXam44aDbvvj9kziJiQDPaerIazjbCsbm9KLIyf&#10;aGOP29QIDqFYoIY2paGQMtatdRjnfrDEtx8fHCa2oZEm4MThrpeZUrl02BF/aHGwq9bWv9vRacjX&#10;YZw2tHpY794/8Wtosv3bea/1/d1CvYJI9pT+YbjU5+pQcaeDH8lE0bNXT0xqmD1mPIGBLFcsDhfx&#10;ArIq5fWC6g9QSwMEFAAAAAgAh07iQDJ7qXLSAQAAqQMAAA4AAABkcnMvZTJvRG9jLnhtbK1TzY7T&#10;MBC+I/EOlu802apF26jpSlAVISFA2uUBHMdJLPlPY7dJXwDegBMX7jxXn4Oxk5RlueyBHJzxzPgb&#10;f9+Mt3eDVuQkwEtrSnqzyCkRhttamrakXx4Or24p8YGZmilrREnPwtO73csX294VYmk7q2oBBEGM&#10;L3pX0i4EV2SZ553QzC+sEwaDjQXNAm6hzWpgPaJrlS3z/HXWW6gdWC68R+9+DNIJEZ4DaJtGcrG3&#10;/KiFCSMqCMUCUvKddJ7u0m2bRvDwqWm8CESVFJmGtGIRtKu4ZrstK1pgrpN8ugJ7zhWecNJMGix6&#10;hdqzwMgR5D9QWnKw3jZhwa3ORiJJEWRxkz/R5r5jTiQuKLV3V9H9/4PlH0+fgci6pBtKDNPY8Mv3&#10;b5cfvy4/v5JNlKd3vsCse4d5YXhjBxya2e/RGVkPDej4Rz4E4yju+SquGALh8dD6drPK15RwjK1W&#10;y/VmHWGyP6cd+PBOWE2iUVLA5iVN2emDD2PqnBKLeatkfZBKpQ201VsF5MSw0Yf0Teh/pSkTk42N&#10;x0bE0SPSqExlIuORWbTCUA2TDJWtz6iCem+wA3GaZgNmo5qNowPZdsgiaZVFIOxgojtNWxyRx3u0&#10;H7+w3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IzpH1gAAAAkBAAAPAAAAAAAAAAEAIAAAACIA&#10;AABkcnMvZG93bnJldi54bWxQSwECFAAUAAAACACHTuJAMnupctIBAACp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566" w:lineRule="atLeast"/>
                        <w:rPr>
                          <w:rFonts w:hint="eastAsia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 w:cs="黑体"/>
                          <w:sz w:val="31"/>
                        </w:rPr>
                        <w:t>SDDR-20</w:t>
                      </w:r>
                      <w:r>
                        <w:rPr>
                          <w:rFonts w:hint="eastAsia" w:ascii="黑体" w:eastAsia="黑体" w:cs="黑体"/>
                          <w:sz w:val="31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黑体" w:eastAsia="黑体" w:cs="黑体"/>
                          <w:sz w:val="31"/>
                        </w:rPr>
                        <w:t>-0000</w:t>
                      </w:r>
                      <w:r>
                        <w:rPr>
                          <w:rFonts w:hint="eastAsia" w:ascii="黑体" w:eastAsia="黑体" w:cs="黑体"/>
                          <w:sz w:val="31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snapToGrid w:val="0"/>
                        <w:spacing w:line="620" w:lineRule="exact"/>
                      </w:pPr>
                    </w:p>
                    <w:p>
                      <w:pPr>
                        <w:snapToGrid w:val="0"/>
                        <w:spacing w:line="6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Calibri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center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方正大标宋简体" w:eastAsia="仿宋_GB2312" w:cs="黑体"/>
          <w:kern w:val="32"/>
          <w:sz w:val="32"/>
          <w:szCs w:val="32"/>
        </w:rPr>
      </w:pP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邵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eastAsia="zh-CN"/>
        </w:rPr>
        <w:t>东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政发〔20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val="en-US" w:eastAsia="zh-CN"/>
        </w:rPr>
        <w:t>22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〕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val="en-US" w:eastAsia="zh-CN"/>
        </w:rPr>
        <w:t>1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黑体"/>
          <w:kern w:val="32"/>
          <w:sz w:val="44"/>
          <w:szCs w:val="44"/>
        </w:rPr>
      </w:pPr>
      <w:r>
        <w:rPr>
          <w:rFonts w:hint="eastAsia" w:ascii="方正大标宋简体" w:hAnsi="方正大标宋简体" w:eastAsia="方正大标宋简体" w:cs="黑体"/>
          <w:kern w:val="3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邵东市人民政府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邵东市优化营商环境促进市场主体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高质量发展实施方案（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2022-2025年）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各乡镇人民政府、街道办事处、皇帝岭林场，市直有关单位，省、邵阳市驻邵有关单位：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现将《邵东市优化营商环境促进市场主体高质量发展实施方案（2022-2025年）》印发给你们，请认真贯彻执行。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邵东市人民政府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2022年3月31日    </w:t>
      </w:r>
    </w:p>
    <w:p/>
    <w:p>
      <w:pP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邵东市优化营商环境促进市场主体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高质量发展实施方案（2022—2025年）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为全面落实“三高四新”战略定位和使命任务，持续深化“放管服”改革，优化营商环境，促进市场主体高质量发展，按照《湖南省人民政府关于优化营商环境促进市场主体高质量发展的意见》（湘政发〔2022〕2号）和《邵阳市人民政府关于印发〈邵阳市优化营商环境促进市场主体高质量发展实施方案（2022-2025年）〉的通知》（邵市政发〔2022〕3号）要求，结合我市实际，制定本方案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一、指导思想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以习近平新时代中国特色社会主义思想为指导，全面贯彻党的十九大和十九届历次全会精神，深入落实习近平总书记对湖南重要讲话重要指示批示精神，按照省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、邵阳市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第十二次党代会部署要求，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精准实施宏观政策，深化商事制度改革，盯紧“三个高地”建设，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大力优化营商环境，实施优质企业梯度培育行动和市场主体倍增工程，加快建设高标准市场体系，以市场主体的高质量发展助推现代化新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邵东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建设。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、发展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目标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市场主体总量显著增长</w:t>
      </w: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市场主体生命力、活跃度不断提升，总量持续增长。到2025年末，全市市场主体力争达到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13.68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万户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。其中，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3.83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万户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个体工商户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和农民专业合作社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9.85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万户。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——市场主体结构不断优化。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市场主体多元发展，三次产业布局更加合理，“三个高地”支撑更加有力。到2025年末，全市规模以上农产品加工企业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138户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、规模以上建筑业企业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30户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、规模以上服务业企业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127户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、限额以上商贸流通企业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700户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、“四上”文化旅游企业达到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38户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，净增规模以上工业企业达到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100户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、高新技术企业达到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200户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、外商投资企业达到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15户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、外贸实绩企业达到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450户。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——市场主体质量稳步提升。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加快“个转企、小升规、规改股、股上市”提档升级，市场主体综合实力、创新能力、经济效益不断提升，实现绿色化、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质量增长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。到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2025年末，引进三类500强企业8户，上市公司突破1家，国家级、省级“小巨人”企业分别突破5户、35户，国家级制造业单项冠军企业（产品）达到1个，评价入库科技型中小企业突破150户。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——市场主体生态持续改善。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营商环境全面优化，土地、资本、数据等要素市场化配置改革不断深化，产业配套能力持续提升，经营成本有效降低，行政服务水平和市场治理效能不断提升，企业办事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更加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便捷，发展生态更趋良好。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重点任务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（一）实施重点企业培育行动。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建立产业发展目录和投资指南，聚焦先进制造业、创新创造、外资外贸、农业农村、文化旅游等重点领域，突出培育企业主体。建立“科企——高企——小巨人——上市领军型”企业梯度培育体系，加强“大院大所大企”合作，实施产业领军企业“头雁领航”工程。加强与东盟、非洲等地的深度合作，加大力度推动中非产业园、东盟科技产业园建设，率先打造湖南自贸区联动发展区，推动形成对接非洲和东盟经贸合作长效机制。深入推进“六大强农”行动，实施“百企千社万户”工程，支持农业产业化龙头企业、农民专业合作社参与乡村振兴项目，鼓励支持农业企业股改、上市。加强文化旅游资源保护与开发利用，推动旅游业提质升档，大力推进全域旅游、乡村旅游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，着力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培养文化旅游企业。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shd w:val="clear"/>
          <w:lang w:eastAsia="zh-CN"/>
          <w14:textFill>
            <w14:solidFill>
              <w14:schemeClr w14:val="tx1"/>
            </w14:solidFill>
          </w14:textFill>
        </w:rPr>
        <w:t>（市科工局、市商务局、市农业农村局、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shd w:val="clear"/>
          <w:lang w:val="en-US" w:eastAsia="zh-CN"/>
          <w14:textFill>
            <w14:solidFill>
              <w14:schemeClr w14:val="tx1"/>
            </w14:solidFill>
          </w14:textFill>
        </w:rPr>
        <w:t>市乡村振兴局、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shd w:val="clear"/>
          <w:lang w:eastAsia="zh-CN"/>
          <w14:textFill>
            <w14:solidFill>
              <w14:schemeClr w14:val="tx1"/>
            </w14:solidFill>
          </w14:textFill>
        </w:rPr>
        <w:t>市文旅广体局等按职责分工负责）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10"/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（二）实施中小企业和个体工商户培育行动。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强化统筹协调机制作用，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续推动减税降费、减租降息、普惠金融等纾困惠企政策直达基层、直接惠及个体工商户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和中小企业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。落实个体工商户稳岗就业补贴，降低小微企业和个体工商户地租成本，引导平台企业降低不合理收费和抽成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。运用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普惠小微企业和个体工商户贷款支持工具，做好普惠小微企业信用贷款支持计划接续转换工作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推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动个体工商户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和中小企业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扩面，不断提高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其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存活率、活跃度，稳住市场主体培育的基本盘。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（市市监局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牵头，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市发改局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市财政局、市税务局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市人社局、市住建局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</w:rPr>
        <w:t>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（三）实施“个转企”培育行动。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立“个转企”种子培育库，加大“个转企”支持力度，符合条件的“个转企”企业，转企三年内享受小微企业税费优惠政策。推动实现“个转企”登记程序一件事一次办，保持“个转企”登记档案延续性、一致性，支持个体工商户享有的专利权、商标权、名称权等权益保护转移至“个转企”企业名下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（市市监局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牵头，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市科工局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市人社局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市自然资源局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人民银行邵东支行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市税务局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（四）实施“四上”企业培育行动。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展“新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（市发改局、市科工局、市财政局、市住建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市商务局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市工商联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（五）实施企业上市培育行动。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贯彻落实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企业上市“金芙蓉跃升”计划，扩充上市后备资源，强化后备企业培育辅导，引导企业规范治理，做好风险防范，支持企业做强做优。拓宽上市渠道，着力推动科技创新型企业科创板上市，加快推动“三创四新”企业创业板上市，稳步推进创新型中小企业北交所上市，鼓励再融资和并购重组，积极招引优质上市公司和后备企业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（市金融办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牵头，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市人民法院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市人民检察院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市发改局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市科工局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市财政局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市商务局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市监局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、市税务局等按职责分工负责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主要举措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（一）加大财税支持力度。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完善财政资金直达机制，强化日常监控，确保直达资金落实到位、规范使用。优化税费优惠政策适用程序，推行惠企政策“免申即享”。落实制造业增值税留抵退税、小规模纳税人减征免征等减税降费政策。加强非税收入退付管理，确保取消、停征、免征及降低征收标准的收费基金项目落实到位。支持招大引强，对世界500强、中国500强、民营500强、行业领军企业来邵新设立企业总部的，按“一事一议”方式对其在邵企业给予支持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（市财政局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市税务局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市直和省、邵阳市驻邵有关单位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提高助企纾困实效</w:t>
      </w:r>
      <w:r>
        <w:rPr>
          <w:rStyle w:val="10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开展“百行进万企”融资对接活动，推广银税互动、银保合作、政银担合作等模式，用好“信易贷”“潇湘财银贷”等平台和工具，增加信用贷款、首贷投放，推广随借随还贷款。充分发挥过桥资金作用，降低过桥费率，有效降低企业续贷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综合融资成本。（人民银行邵东支行牵头，市发改局、市科工局、市财政局、市金融办、市人社局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市住建局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市市监局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市医保局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市税务局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国网邵东市供电公司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（三）降低企业要素成本。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（市发改局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市自然资源局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市科工局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市人社局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人民银行邵东支行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市供销合作联社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国网邵东市供电公司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等按职责分工负责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（四）优化行政审批服务。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深入推进住所（经营场所）登记制度改革，推动“非禁即入”普遍落实。实现“证照分离”改革全覆盖，推进“照后减证”和简化审批。深化“一件事一次办”改革，提高“一网通办”效率，扩大“跨省通办”范围。推动高频电子证照标准化和跨区域互认共享。深化工程建设项目审批制度改革，进一步压减电力接入审批时间。发挥破产处置府院联动机制作用，优化简易注销制度。（市发改局、市行政审批服务局牵头，市司法局、市公安局、市人民法院、市人社局、市商务局、市税务局、市住建局、市市监局、人民银行邵东支行等按职责分工负责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（五）营造公平竞争环境。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废除与企业性质、属地或规模挂钩的歧视性准入规定和补贴政策，加强民生保障、促进创新等重点领域的反垄断和反不正当竞争执法。完善涉企收费目录清单制度，加强涉企收费治理。发挥“互联网+监管”平台作用，推进部门联合“双随机、一公开”监管常态化。推广信用承诺制、告知承诺制，健全守信联合激励和失信联合惩戒机制。完善产权保护制度，依法全面保护各类产权。实行包容审慎监管，压缩自由裁量空间，推行轻微违法“首违不罚”。严格市场监管、质量监管、安全监管、金融监管，加强违法惩戒，严守市场安全底线。加强行业自律，建立健全行业规范，推动行业诚信体系建设。（市市监局牵头，市人民法院、市人民检察院、市发改局、市公安局、市住建局、市交通运输局、市农业农村局、市文旅广体局、市卫健局、市金融办、人民银行邵东支行、市税务局、市司法局等按职责分工负责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五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（一）强化组织保障。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建立市场主体高质量发展市级推进工作机制（以下简称推进机制），由市委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书记周玉凡、市长李国军任总召集人，分管副市长龙薇薇任副召集人，各乡镇人民政府（街道、场）党政负责人、市直有关单位主要负责人为成员。推进机制办公室设市市监局，由市市监局党组书记、局长申明理任办公室主任，统筹推进市场主体倍增工作，协调解决工作中的重大问题。各乡镇人民政府（街道、场）、经开区管委会要建立相应工作机制，加强组织领导和统筹协调。各成员单位要组建工作专班，切实做好任务落实和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（二）强化责任落实。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市市监局、市发改局、市科工局、市商务局、市农业农村局、市住建局、市金融办、市文旅广体局、经开区管委会等指标牵头部门和各乡镇（街道、场）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根据方案分工和目标清单，结合本地本部门实际，进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一步细化目标任务，分级分类制定任务书、路线图，确保任务落实到位。其他相关责任单位要根据方案分工，制定推进市场主体倍增工程的具体政策措施。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（三）强化考核监测。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市场主体培育推进情况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纳入绩效考核体系和市政府“三重点”工作，对各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乡镇（街道）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实行月调度、季讲评、年考核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政府督查室要将市场主体培育工作纳入重点督查范围，定期跟踪督查。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推进机制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办公室要牵头建立统计监测制度，建立健全统计监测指标体系，加强日常监测，强化工作调度。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（四）强化宣传引导。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各部门要充分利用各类媒体，宣传市场主体在经济社会发展中的重要地位、作用和培育市场主体的重要意义，以及优化营商环境促进市场主体倍增的政策措施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场主体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发展目标清单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1926" w:leftChars="759" w:hanging="332" w:hangingChars="104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2.全市市场主体倍增工程乡镇（街道）分解表（市场主体类、企业类、个转企类）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211" w:right="1474" w:bottom="1928" w:left="164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场主体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发展目标清单</w:t>
      </w:r>
    </w:p>
    <w:tbl>
      <w:tblPr>
        <w:tblStyle w:val="8"/>
        <w:tblW w:w="10077" w:type="dxa"/>
        <w:jc w:val="center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577"/>
        <w:gridCol w:w="843"/>
        <w:gridCol w:w="813"/>
        <w:gridCol w:w="775"/>
        <w:gridCol w:w="1824"/>
        <w:gridCol w:w="3245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1" w:hRule="atLeast"/>
          <w:tblHeader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指标类型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牵头部门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（以下均含各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、街道办事处、经开区管委会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市场主体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（万户）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8.98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13.68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市市监局</w:t>
            </w:r>
          </w:p>
        </w:tc>
        <w:tc>
          <w:tcPr>
            <w:tcW w:w="3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市发改局、市公安局、市科工局、市财政局、市人社局、市医保局、市税务局、人民银行邵东支行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（万户）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3.83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个转企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规模以上农产品加工企业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市农业农村局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市科工局、市商务局、市乡村振兴局等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4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具有总承包和专业承包资质的独立核算建筑业企业（户）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市住建局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市交通运输局、市水利局、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市财政局等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4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规模以上服务业企业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市发改局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市科工局、市住建局、市交通运输局、市商务局、市文旅广体局、市金融办等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限额以上商贸流通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市商务局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市发改局、市税务局、市统计局等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净增规模以上工业企业（户）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市科工局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市发改局等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国家级小巨人企业（户）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市科工局</w:t>
            </w:r>
          </w:p>
        </w:tc>
        <w:tc>
          <w:tcPr>
            <w:tcW w:w="3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市工商联等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省级小巨人企业（户）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9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国家级制造业单项冠军企业（产品）（个）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1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市发改局、市工商联等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9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“四上”文化旅游企业（户）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市文旅广体局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市农业农村局、市商务局、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市市监局等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1" w:hRule="atLeas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上市公司（户）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pacing w:val="-6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市人民法院、市人民检察院、市发改局、市科工局、市财政局、市商务局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外商投资企业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市商务局</w:t>
            </w:r>
          </w:p>
        </w:tc>
        <w:tc>
          <w:tcPr>
            <w:tcW w:w="3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市市监局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市金融办等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外贸实绩企业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高新技术企业（户）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-6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市科工局</w:t>
            </w:r>
          </w:p>
        </w:tc>
        <w:tc>
          <w:tcPr>
            <w:tcW w:w="3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市市监局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4" w:hRule="exact"/>
          <w:jc w:val="center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评价入库科技型中小企业（户）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sectPr>
          <w:pgSz w:w="11906" w:h="16838"/>
          <w:pgMar w:top="1701" w:right="1474" w:bottom="1417" w:left="1644" w:header="851" w:footer="73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全市市场主体倍增工程乡镇（街道）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分解表（市场主体类）</w:t>
      </w:r>
    </w:p>
    <w:p>
      <w:pPr>
        <w:pStyle w:val="5"/>
        <w:rPr>
          <w:rFonts w:hint="eastAsia"/>
        </w:rPr>
      </w:pPr>
    </w:p>
    <w:tbl>
      <w:tblPr>
        <w:tblStyle w:val="8"/>
        <w:tblW w:w="563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73"/>
        <w:gridCol w:w="773"/>
        <w:gridCol w:w="773"/>
        <w:gridCol w:w="839"/>
        <w:gridCol w:w="839"/>
        <w:gridCol w:w="839"/>
        <w:gridCol w:w="839"/>
        <w:gridCol w:w="839"/>
        <w:gridCol w:w="839"/>
        <w:gridCol w:w="839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2022年新增市场主体总量月度目标数（户）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55" w:rightChars="26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乡镇（街道）</w:t>
            </w:r>
            <w:r>
              <w:rPr>
                <w:rStyle w:val="1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月份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两市塘街道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2848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魏家桥镇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宋家塘街道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5581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6041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6566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大禾塘街道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5652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6143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廉桥镇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1568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界岭镇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流泽镇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387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斫曹乡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牛马司镇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562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黑田铺镇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佘田桥镇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439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水东江镇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野鸡坪镇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流光岭镇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团山镇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砂石镇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灵官殿镇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743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堡面前乡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火厂坪镇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周官桥乡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简家陇镇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仙槎桥镇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961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九龙岭镇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7" w:leftChars="0" w:hanging="1097" w:hangingChars="39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备注：1.2021年、2022年、2025年市场主体数是指“各年期末市场主体实有数”；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2.市场主体包括：企业、个体工商户、农民专业合作社；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7" w:leftChars="400" w:hanging="257" w:hangingChars="9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3.企业包括：内资公司及分支机构，个人独资企业、合伙企业及分支机构，外商投资企业及分支机构。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全市市场主体倍增工程乡镇（街道）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分解表（企业类）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8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2022年新增企业月度目标数（户）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tblHeader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600" w:lineRule="exact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乡镇（街道）</w:t>
            </w:r>
            <w:r>
              <w:rPr>
                <w:rStyle w:val="15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月份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两市塘街道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魏家桥镇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宋家塘街道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大禾塘街道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廉桥镇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界岭镇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流泽镇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斫曹乡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牛马司镇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黑田铺镇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佘田桥镇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水东江镇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野鸡坪镇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流光岭镇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团山镇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砂石镇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灵官殿镇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堡面前乡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火厂坪镇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周官桥乡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简家陇镇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仙槎桥镇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九龙岭镇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38300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全市市场主体倍增工程乡镇（街道）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kern w:val="0"/>
          <w:sz w:val="44"/>
          <w:szCs w:val="44"/>
          <w:u w:val="none"/>
          <w:lang w:val="en-US" w:eastAsia="zh-CN" w:bidi="ar"/>
        </w:rPr>
        <w:t>分解表（个转企类）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8"/>
        <w:tblW w:w="101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2022年个转企月度目标数（户）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tblHeader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乡镇（街道）</w:t>
            </w:r>
            <w:r>
              <w:rPr>
                <w:rStyle w:val="16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月份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两市塘街道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魏家桥镇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宋家塘街道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大禾塘街道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廉桥镇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界岭镇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流泽镇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斫曹乡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牛马司镇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黑田铺镇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佘田桥镇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水东江镇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野鸡坪镇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流光岭镇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团山镇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砂石镇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灵官殿镇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堡面前乡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火厂坪镇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周官桥乡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简家陇镇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仙槎桥镇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九龙岭镇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</w:tbl>
    <w:p>
      <w:pPr>
        <w:pStyle w:val="4"/>
        <w:rPr>
          <w:rFonts w:hint="eastAsia"/>
        </w:rPr>
      </w:pPr>
    </w:p>
    <w:sectPr>
      <w:pgSz w:w="11906" w:h="16838"/>
      <w:pgMar w:top="1984" w:right="1417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TNkYWZjZDlhZDBhN2U0N2MyZDE5ZTdiYzg5MjEifQ=="/>
  </w:docVars>
  <w:rsids>
    <w:rsidRoot w:val="005B59C1"/>
    <w:rsid w:val="005223D1"/>
    <w:rsid w:val="005B59C1"/>
    <w:rsid w:val="00605E2B"/>
    <w:rsid w:val="00613A5E"/>
    <w:rsid w:val="00617412"/>
    <w:rsid w:val="00B67A47"/>
    <w:rsid w:val="00BE3237"/>
    <w:rsid w:val="00C91CA2"/>
    <w:rsid w:val="00CB0A69"/>
    <w:rsid w:val="00CF3964"/>
    <w:rsid w:val="00DA74D6"/>
    <w:rsid w:val="00E12B9A"/>
    <w:rsid w:val="068F48FC"/>
    <w:rsid w:val="0B0C383E"/>
    <w:rsid w:val="0D837CD3"/>
    <w:rsid w:val="129552FC"/>
    <w:rsid w:val="138376B1"/>
    <w:rsid w:val="17B73A04"/>
    <w:rsid w:val="17C160F3"/>
    <w:rsid w:val="182F31F2"/>
    <w:rsid w:val="19A5464A"/>
    <w:rsid w:val="1B5A1A13"/>
    <w:rsid w:val="1C1214F1"/>
    <w:rsid w:val="1E707ECB"/>
    <w:rsid w:val="207C5596"/>
    <w:rsid w:val="218D763F"/>
    <w:rsid w:val="23244DDD"/>
    <w:rsid w:val="27F9292F"/>
    <w:rsid w:val="2A3869DA"/>
    <w:rsid w:val="2B2545E5"/>
    <w:rsid w:val="2DB84CA3"/>
    <w:rsid w:val="2F835584"/>
    <w:rsid w:val="2FD35FE3"/>
    <w:rsid w:val="31D73965"/>
    <w:rsid w:val="32A970B0"/>
    <w:rsid w:val="32D14DDA"/>
    <w:rsid w:val="33680182"/>
    <w:rsid w:val="34803781"/>
    <w:rsid w:val="34951ECC"/>
    <w:rsid w:val="35D97CAC"/>
    <w:rsid w:val="363E1FCA"/>
    <w:rsid w:val="36490DA7"/>
    <w:rsid w:val="384E465B"/>
    <w:rsid w:val="390F016B"/>
    <w:rsid w:val="3CCF5047"/>
    <w:rsid w:val="3D3714F8"/>
    <w:rsid w:val="40061D9E"/>
    <w:rsid w:val="41883DAE"/>
    <w:rsid w:val="48AA2E1B"/>
    <w:rsid w:val="49751599"/>
    <w:rsid w:val="4DC626AB"/>
    <w:rsid w:val="5153670D"/>
    <w:rsid w:val="51B1181C"/>
    <w:rsid w:val="55164052"/>
    <w:rsid w:val="594D1ED4"/>
    <w:rsid w:val="5CCA2861"/>
    <w:rsid w:val="5CD837E8"/>
    <w:rsid w:val="5E2E3C28"/>
    <w:rsid w:val="5F761778"/>
    <w:rsid w:val="61A16E20"/>
    <w:rsid w:val="6256685F"/>
    <w:rsid w:val="64A82DBC"/>
    <w:rsid w:val="67FB4551"/>
    <w:rsid w:val="69272880"/>
    <w:rsid w:val="6972741B"/>
    <w:rsid w:val="6B0679BC"/>
    <w:rsid w:val="6B9C561F"/>
    <w:rsid w:val="6F8932B5"/>
    <w:rsid w:val="70323303"/>
    <w:rsid w:val="718A7AD1"/>
    <w:rsid w:val="724A215F"/>
    <w:rsid w:val="732653D7"/>
    <w:rsid w:val="73317E3A"/>
    <w:rsid w:val="736B44C8"/>
    <w:rsid w:val="75A0768A"/>
    <w:rsid w:val="78D54D47"/>
    <w:rsid w:val="7B1B79EC"/>
    <w:rsid w:val="7C036DFE"/>
    <w:rsid w:val="7DB9249A"/>
    <w:rsid w:val="7E9C34EC"/>
    <w:rsid w:val="7EEC7406"/>
    <w:rsid w:val="7FBA7BD4"/>
    <w:rsid w:val="7FE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  <w:vertAlign w:val="subscript"/>
    </w:rPr>
  </w:style>
  <w:style w:type="character" w:customStyle="1" w:styleId="15">
    <w:name w:val="font10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  <w:vertAlign w:val="superscript"/>
    </w:rPr>
  </w:style>
  <w:style w:type="character" w:customStyle="1" w:styleId="16">
    <w:name w:val="font8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6330</Words>
  <Characters>7635</Characters>
  <Lines>5</Lines>
  <Paragraphs>1</Paragraphs>
  <TotalTime>5</TotalTime>
  <ScaleCrop>false</ScaleCrop>
  <LinksUpToDate>false</LinksUpToDate>
  <CharactersWithSpaces>8184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2018-09-18T08:55:00Z</dcterms:created>
  <dc:creator>xb21cn</dc:creator>
  <cp:lastModifiedBy>Administrator</cp:lastModifiedBy>
  <cp:lastPrinted>2022-05-31T07:20:00Z</cp:lastPrinted>
  <dcterms:modified xsi:type="dcterms:W3CDTF">2022-06-02T01:14:47Z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CE6301372B0A4A6281803AEAC6B1E33E</vt:lpwstr>
  </property>
</Properties>
</file>