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7C256" w14:textId="77777777" w:rsidR="00205D93" w:rsidRDefault="00205D93" w:rsidP="00205D93">
      <w:pPr>
        <w:spacing w:line="540" w:lineRule="exact"/>
        <w:jc w:val="left"/>
        <w:outlineLvl w:val="0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14:paraId="1F474D56" w14:textId="77777777" w:rsidR="00205D93" w:rsidRDefault="00205D93" w:rsidP="00205D93">
      <w:pPr>
        <w:spacing w:line="540" w:lineRule="exact"/>
        <w:jc w:val="left"/>
        <w:outlineLvl w:val="0"/>
        <w:rPr>
          <w:rFonts w:eastAsia="黑体" w:hint="eastAsia"/>
          <w:sz w:val="32"/>
          <w:szCs w:val="32"/>
        </w:rPr>
      </w:pPr>
    </w:p>
    <w:p w14:paraId="0D6EABE5" w14:textId="77777777" w:rsidR="00205D93" w:rsidRDefault="00205D93" w:rsidP="00205D93">
      <w:pPr>
        <w:pStyle w:val="1"/>
        <w:rPr>
          <w:spacing w:val="-11"/>
        </w:rPr>
      </w:pPr>
      <w:r>
        <w:rPr>
          <w:spacing w:val="-11"/>
        </w:rPr>
        <w:t>湖南省县域商业建设行动资金支持内容指导清单</w:t>
      </w:r>
    </w:p>
    <w:p w14:paraId="69C526E3" w14:textId="77777777" w:rsidR="00205D93" w:rsidRDefault="00205D93" w:rsidP="00205D93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B71C33B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一、补齐县域商业基础设施短板</w:t>
      </w:r>
    </w:p>
    <w:p w14:paraId="665B966F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主要为农(集)贸市场建设项目、位于乡镇的商贸中心和大 中型超市建设项目，支持内容如下：</w:t>
      </w:r>
    </w:p>
    <w:p w14:paraId="62A6FEA8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(一)农(集)贸市场建设项目</w:t>
      </w:r>
    </w:p>
    <w:p w14:paraId="3B84672C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1.基础。主要包括钢构顶棚、必要的地面硬化(仅限乡镇集 贸市场)、厕所(仅限乡镇集贸市场)、市场配套停车场(仅限 乡镇集贸市场)等。</w:t>
      </w:r>
    </w:p>
    <w:p w14:paraId="6176CB4A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2.配套。主要包括供水、供电、照明设施等。</w:t>
      </w:r>
    </w:p>
    <w:p w14:paraId="2561BA97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3.销售设施。主要包括销售台、水产池、电子秤等电子结算 设备。</w:t>
      </w:r>
    </w:p>
    <w:p w14:paraId="313FEB21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3.冷藏。主要包括市场内公用周转冷库、冷冻柜、冷藏柜、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立风柜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、保鲜加湿器等。</w:t>
      </w:r>
    </w:p>
    <w:p w14:paraId="7C2C1445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4.物流。主要包括市场公用的常温货车、冷藏货车、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其他微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型运输车辆等。</w:t>
      </w:r>
    </w:p>
    <w:p w14:paraId="42129F9D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5.卫生。主要包括食品检验检测、冲洗消毒、排污、垃圾处 理等卫生设施设备；便民药箱等市场配套医疗救护设施。</w:t>
      </w:r>
    </w:p>
    <w:p w14:paraId="5F823050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6.安全。主要包括消火栓、灭火器、消防喷淋、消防监控、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安防监控设备等。</w:t>
      </w:r>
    </w:p>
    <w:p w14:paraId="20844495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(二)位于乡镇的商贸中心、大中型超市建设项目</w:t>
      </w:r>
    </w:p>
    <w:p w14:paraId="0D47C19A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1.基础。主体结构为钢构的乡镇商贸中心、大中型超市顶棚。</w:t>
      </w:r>
    </w:p>
    <w:p w14:paraId="14DAF0A3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2.配套。主要包括供水、供电、照明、空调等。</w:t>
      </w:r>
    </w:p>
    <w:p w14:paraId="2E4E5FD4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3.陈列。主要包括陈列架、陈列柜、陈列台、柜台、鲜活水 产品蓄养池等。</w:t>
      </w:r>
    </w:p>
    <w:p w14:paraId="0FBF0DDA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4.加工。店内面包、糕点加工配备的烘烤箱、打蛋机、醒发 箱、搅拌机等，店内肉、禽、鱼类清洗、切割、分拣设备等。</w:t>
      </w:r>
    </w:p>
    <w:p w14:paraId="2F8322C3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5.打包。主要包括捆扎机、保鲜膜打包机、真空机等。</w:t>
      </w:r>
    </w:p>
    <w:p w14:paraId="54D96004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6.冷藏。主要包括店内周转冷库、冷冻柜、冷藏柜、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立风柜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 保鲜加湿器等。</w:t>
      </w:r>
    </w:p>
    <w:p w14:paraId="324556BD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7.结算。主要包括电脑、收银机、自助收银机、小票打印机、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扫码枪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、电子秤、POS 机，价格不超过新增有效投资总额3%的 线上销售小程序或APP 等。</w:t>
      </w:r>
    </w:p>
    <w:p w14:paraId="291D6FF8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8.物流。主要包括常温货车、冷藏货车、其他微型运输车辆 等。</w:t>
      </w:r>
    </w:p>
    <w:p w14:paraId="695D58BB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9.卫生。主要包括食品检验检测、冲洗消毒、排污、垃圾处 理等卫生设施；便民药箱等市场配套医疗救护设施。</w:t>
      </w:r>
    </w:p>
    <w:p w14:paraId="3D21DD65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10.安全。主要包括消火栓、灭火器、消防喷淋、消防监控、 安防监控设备等。</w:t>
      </w:r>
    </w:p>
    <w:p w14:paraId="57372EE7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二、完善县乡村三级物流配送体系</w:t>
      </w:r>
    </w:p>
    <w:p w14:paraId="7B0F2B22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主要为县级物流配送中心建设项目，乡镇、村物流站点建设 项目，支持内容如下：</w:t>
      </w:r>
    </w:p>
    <w:p w14:paraId="0FF6A1AE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1.基础。主要包括钢构顶棚、必要的地面硬化。</w:t>
      </w:r>
    </w:p>
    <w:p w14:paraId="03A53A1A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2.配套。主要包括供气、供电、照明设施。</w:t>
      </w:r>
    </w:p>
    <w:p w14:paraId="74B29929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3.仓储。主要包括冷库设备、出库仪、电子秤、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扫码枪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、安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检机等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设备。</w:t>
      </w:r>
    </w:p>
    <w:p w14:paraId="02AAB00F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4.分拣。主要包括自动分拣线、传送带、分拣机等设备。</w:t>
      </w:r>
    </w:p>
    <w:p w14:paraId="6930F428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5.打包。主要包括捆扎机、打包机、贴标设备、干燥设备、 杀菌设备等。</w:t>
      </w:r>
    </w:p>
    <w:p w14:paraId="16139208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6.装卸。主要包括叉车、搬运设备、堆高设备、重量测量设 施等。</w:t>
      </w:r>
    </w:p>
    <w:p w14:paraId="07D5EBD1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7.物流。主要包括常温货车、冷藏货车、其他微型运输车辆 等。</w:t>
      </w:r>
    </w:p>
    <w:p w14:paraId="34C4592A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8.安全。主要包括消火栓、灭火器、消防喷淋、消防监控、 安防监控设备等。</w:t>
      </w:r>
    </w:p>
    <w:p w14:paraId="6B9D687D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三、改善优化县域消费渠道</w:t>
      </w:r>
    </w:p>
    <w:p w14:paraId="10BE6126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主要为大型商贸流通企业下沉供应链项目，支持品牌商贸零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在省内下沉渠道，开设乡镇、村级品牌连锁店实行商品统 一采购、统一配送、统一收银、统一管理必要的支出。</w:t>
      </w:r>
    </w:p>
    <w:p w14:paraId="72A1AB45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1.仓储。主要包括建设布局县域品牌连锁前置仓的自动分拣 线、传送带、分拣机等设备。</w:t>
      </w:r>
    </w:p>
    <w:p w14:paraId="3F34664F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2.陈列。主要包括乡镇、村销售网点的陈列架、陈列柜、陈 列台、柜台等。</w:t>
      </w:r>
    </w:p>
    <w:p w14:paraId="5845C26F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3.打包。主要包括乡镇、村销售网点的捆扎机、保鲜膜打包 机、真空机等。</w:t>
      </w:r>
    </w:p>
    <w:p w14:paraId="0740FF15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4.冷藏。主要包括乡镇、村销售网点的冷冻柜、冷藏柜、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立风柜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、保鲜加湿器等。</w:t>
      </w:r>
    </w:p>
    <w:p w14:paraId="63868B8A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5.结算。主要包括乡镇、村销售网点的电脑、收银机、小票 打印机、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扫码枪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、电子秤、POS 机等。</w:t>
      </w:r>
    </w:p>
    <w:p w14:paraId="3BA40ED7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四、增强农产品上行动能</w:t>
      </w:r>
    </w:p>
    <w:p w14:paraId="1FDA228D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主要为农产品商品化处理初加工项目，支持内容如下：</w:t>
      </w:r>
    </w:p>
    <w:p w14:paraId="0E6C49E7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1.分拣。主要包括农产品清洗、色选、分级、包装设备等。</w:t>
      </w:r>
    </w:p>
    <w:p w14:paraId="6B5BCBC0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2.预冷。主要包括通风预冷设备、气调预冷设备、真空预冷 设备、冷水预冷设备等。</w:t>
      </w:r>
    </w:p>
    <w:p w14:paraId="3BA484BA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3.初加工。主要包括去皮机、切割机、破碎机、搅拌机、烘 干机、储料输送机、震动给料机、装袋机、清理机、称量设备等。</w:t>
      </w:r>
    </w:p>
    <w:p w14:paraId="3184B6B4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4.物流。主要包括常温货车、冷藏货车、其他微型运输车辆等。</w:t>
      </w:r>
    </w:p>
    <w:p w14:paraId="4B61D6C8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五、改善生活服务供给质量</w:t>
      </w:r>
    </w:p>
    <w:p w14:paraId="037983C3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主要为位于乡镇和农村的农商旅一体化融合项目，支持内容 如下：</w:t>
      </w:r>
    </w:p>
    <w:p w14:paraId="67C07FCB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1.购物。用于农产品销售的收银机、小票打印机、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扫码枪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、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电子秤、POS 机，陈列架、陈列柜、陈列台、柜台等。</w:t>
      </w:r>
    </w:p>
    <w:p w14:paraId="5EF3722D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2.餐饮。厨房燃气灶(电磁灶)、汤粥炉、切菜(肉)机、蒸 柜、烤箱、冰箱(冷柜)、抽油烟机、洗碗机、高温消毒柜等。</w:t>
      </w:r>
    </w:p>
    <w:p w14:paraId="3C70039C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3.娱乐。亲子娱乐设施等。</w:t>
      </w:r>
    </w:p>
    <w:p w14:paraId="30475AA7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六、家电家具再生资源回收体系</w:t>
      </w:r>
    </w:p>
    <w:p w14:paraId="3C6D907C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主要支持布局建设家电家具再生资源回收体系县域回收站、 中转站、集散市场，以及依托乡镇商贸中心等商业网点拓展废旧家电回收、二手家电经销、维修功能必要的仓储、周转、计量、 运输、结算方面支出。</w:t>
      </w:r>
    </w:p>
    <w:p w14:paraId="524CBA64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1.仓储。主要包括废旧家电家具暂存设备、捆扎机、打包机等。 2.搬运。主要包括叉车、拖车等。</w:t>
      </w:r>
    </w:p>
    <w:p w14:paraId="649763E5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3.计量。主要包括地磅、电子秤等。</w:t>
      </w:r>
    </w:p>
    <w:p w14:paraId="1EE032AB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4.维修。主要包括依托乡镇商贸中心等商业网点设立废旧家 电维修站的维修仪器。</w:t>
      </w:r>
    </w:p>
    <w:p w14:paraId="1A0481DF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5.物流。主要包括货车、其他微型运输车辆等。</w:t>
      </w:r>
    </w:p>
    <w:p w14:paraId="39F700E2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6.结算。主要包括回收中转站的收银台、收银机、小票打印 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扫码枪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等。</w:t>
      </w:r>
    </w:p>
    <w:p w14:paraId="53E9B2C5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七、资金不支持的方向和内容</w:t>
      </w:r>
    </w:p>
    <w:p w14:paraId="477C1325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(一)不支持的项目类别</w:t>
      </w:r>
    </w:p>
    <w:p w14:paraId="7DF75BA3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1.已获中央或省级专项资金支持的项目。</w:t>
      </w:r>
    </w:p>
    <w:p w14:paraId="15837D52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2.以房地产企业、物业(置业)公司为申报单位的项目。</w:t>
      </w:r>
    </w:p>
    <w:p w14:paraId="706B6510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3.县城综合商贸服务中心项目，单一的村级商业网点建设项 目。</w:t>
      </w:r>
    </w:p>
    <w:p w14:paraId="63111271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4.位于街道的商贸中心、超市建设项目。</w:t>
      </w:r>
    </w:p>
    <w:p w14:paraId="20FD6E2A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5.无共同配送功能的单一快递或物流公司建设项目。</w:t>
      </w:r>
    </w:p>
    <w:p w14:paraId="3578176D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6.仍在电子商务进农村综合示范项目物流服务期内的示范 县物流共同配送项目。(已过电子商务进农村综合示范项目物流 服务期的示范县，新的物流共同配送项目需出具可行性研究论证 报告认为确有提质升级必要性，方能纳入支持范围。)</w:t>
      </w:r>
    </w:p>
    <w:p w14:paraId="5B278617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7.农产品精加工设备及项目。</w:t>
      </w:r>
    </w:p>
    <w:p w14:paraId="165003DD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8.农产品批发市场建设项目(市场建在城区内或城区周边， 市场消费者以大型农产品商家企业或经销商等大客户为主，市场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业态以农产品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集散、批发为主)。</w:t>
      </w:r>
    </w:p>
    <w:p w14:paraId="16B0F128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(二)不支持的项目建设内容 1.土地购置、征地拆迁的支出。</w:t>
      </w:r>
    </w:p>
    <w:p w14:paraId="1D204408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2.除前文所列允许支持之外的其他土建支出。</w:t>
      </w:r>
    </w:p>
    <w:p w14:paraId="79DE98BB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3.企业办公设施建设支出。包括但不限于办公楼、宿舍等建 设支出。</w:t>
      </w:r>
    </w:p>
    <w:p w14:paraId="6B96361E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4.工作经费支出。包括但不限于设计、环评、可行性研究、 绩效评价、项目验收等支出。</w:t>
      </w:r>
    </w:p>
    <w:p w14:paraId="7CA70439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5.各类运营费用支出。包括但不限于招待、广告推广、人员 工资、租金等支出。</w:t>
      </w:r>
    </w:p>
    <w:p w14:paraId="2E59EB21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6.用于支付罚款、捐款、赞助、投资、偿还债务的支出。</w:t>
      </w:r>
    </w:p>
    <w:p w14:paraId="4A9E2488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7.耗材类设备购置费。包括但不限于耗材类周转箱、周转袋、 周转筐等。</w:t>
      </w:r>
    </w:p>
    <w:p w14:paraId="2FEC638D" w14:textId="77777777" w:rsidR="00205D93" w:rsidRDefault="00205D93" w:rsidP="00205D93">
      <w:pPr>
        <w:pStyle w:val="a7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sectPr w:rsidR="00205D93" w:rsidSect="00205D93">
          <w:footerReference w:type="default" r:id="rId6"/>
          <w:pgSz w:w="11907" w:h="16840"/>
          <w:pgMar w:top="2098" w:right="1474" w:bottom="1984" w:left="1588" w:header="720" w:footer="720" w:gutter="0"/>
          <w:cols w:space="720"/>
        </w:sect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8.项目实施单位为增值税一般纳税人，支出为不含税金额的 增值税进项税。</w:t>
      </w:r>
    </w:p>
    <w:p w14:paraId="1B7600EA" w14:textId="77777777" w:rsidR="00E976D2" w:rsidRPr="00205D93" w:rsidRDefault="00E976D2"/>
    <w:sectPr w:rsidR="00E976D2" w:rsidRPr="00205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4C642" w14:textId="77777777" w:rsidR="000B251E" w:rsidRDefault="000B251E" w:rsidP="00205D93">
      <w:pPr>
        <w:rPr>
          <w:rFonts w:hint="eastAsia"/>
        </w:rPr>
      </w:pPr>
      <w:r>
        <w:separator/>
      </w:r>
    </w:p>
  </w:endnote>
  <w:endnote w:type="continuationSeparator" w:id="0">
    <w:p w14:paraId="15DE7240" w14:textId="77777777" w:rsidR="000B251E" w:rsidRDefault="000B251E" w:rsidP="00205D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75721" w14:textId="57F190F4" w:rsidR="00205D93" w:rsidRDefault="00205D9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3F284" wp14:editId="04F8CD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07228869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B60B6" w14:textId="77777777" w:rsidR="00205D93" w:rsidRDefault="00205D93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3F28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14:paraId="046B60B6" w14:textId="77777777" w:rsidR="00205D93" w:rsidRDefault="00205D93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88B86" w14:textId="77777777" w:rsidR="000B251E" w:rsidRDefault="000B251E" w:rsidP="00205D93">
      <w:pPr>
        <w:rPr>
          <w:rFonts w:hint="eastAsia"/>
        </w:rPr>
      </w:pPr>
      <w:r>
        <w:separator/>
      </w:r>
    </w:p>
  </w:footnote>
  <w:footnote w:type="continuationSeparator" w:id="0">
    <w:p w14:paraId="1CAE4106" w14:textId="77777777" w:rsidR="000B251E" w:rsidRDefault="000B251E" w:rsidP="00205D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D2"/>
    <w:rsid w:val="000B251E"/>
    <w:rsid w:val="00205D93"/>
    <w:rsid w:val="009C14F9"/>
    <w:rsid w:val="00E9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6B8FFDE-FF8E-436B-BC19-6F62F823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D93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205D93"/>
    <w:pPr>
      <w:keepNext/>
      <w:keepLines/>
      <w:spacing w:line="700" w:lineRule="exact"/>
      <w:jc w:val="center"/>
      <w:outlineLvl w:val="0"/>
    </w:pPr>
    <w:rPr>
      <w:rFonts w:ascii="方正小标宋简体" w:eastAsia="方正小标宋简体" w:hAnsi="方正小标宋简体" w:cs="方正小标宋简体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D9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05D93"/>
    <w:rPr>
      <w:sz w:val="18"/>
      <w:szCs w:val="18"/>
    </w:rPr>
  </w:style>
  <w:style w:type="paragraph" w:styleId="a5">
    <w:name w:val="footer"/>
    <w:basedOn w:val="a"/>
    <w:link w:val="a6"/>
    <w:unhideWhenUsed/>
    <w:rsid w:val="00205D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05D93"/>
    <w:rPr>
      <w:sz w:val="18"/>
      <w:szCs w:val="18"/>
    </w:rPr>
  </w:style>
  <w:style w:type="character" w:customStyle="1" w:styleId="10">
    <w:name w:val="标题 1 字符"/>
    <w:basedOn w:val="a0"/>
    <w:link w:val="1"/>
    <w:rsid w:val="00205D93"/>
    <w:rPr>
      <w:rFonts w:ascii="方正小标宋简体" w:eastAsia="方正小标宋简体" w:hAnsi="方正小标宋简体" w:cs="方正小标宋简体"/>
      <w:kern w:val="44"/>
      <w:sz w:val="44"/>
      <w:szCs w:val="44"/>
      <w14:ligatures w14:val="none"/>
    </w:rPr>
  </w:style>
  <w:style w:type="paragraph" w:styleId="a7">
    <w:name w:val="Body Text"/>
    <w:basedOn w:val="a"/>
    <w:link w:val="a8"/>
    <w:semiHidden/>
    <w:qFormat/>
    <w:rsid w:val="00205D93"/>
    <w:rPr>
      <w:rFonts w:ascii="Arial" w:eastAsia="Arial" w:hAnsi="Arial" w:cs="Arial"/>
      <w:szCs w:val="21"/>
      <w:lang w:eastAsia="en-US"/>
    </w:rPr>
  </w:style>
  <w:style w:type="character" w:customStyle="1" w:styleId="a8">
    <w:name w:val="正文文本 字符"/>
    <w:basedOn w:val="a0"/>
    <w:link w:val="a7"/>
    <w:semiHidden/>
    <w:rsid w:val="00205D93"/>
    <w:rPr>
      <w:rFonts w:ascii="Arial" w:eastAsia="Arial" w:hAnsi="Arial" w:cs="Arial"/>
      <w:szCs w:val="21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2024-08-14T03:43:00Z</dcterms:created>
  <dcterms:modified xsi:type="dcterms:W3CDTF">2024-08-14T03:44:00Z</dcterms:modified>
</cp:coreProperties>
</file>