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邵东市两市塘街道办事处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整体支出绩效自评报告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</w:rPr>
        <w:t>邵东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两市镇街道办事处下设内设机构分别是人大事务、政协事务、财政事务、纪检、组织、卫计、农业、武装、政法、统战、宣传、妇联、工会、扶贫、统计、重点项目、信访维稳、劳动就业、工业城建、文化广播、环境卫生整治、其他事务等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（一）内设机构设置。本单位内设机构包括：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政府，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便民服务中心，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3、行政执法大队，4、农业综合服务站，5、社会事务中心，6、敬老院，7、财政所，8、退役军人事务服务站。</w:t>
      </w:r>
    </w:p>
    <w:p>
      <w:pPr>
        <w:pStyle w:val="5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</w:rPr>
        <w:t>本年收入合计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4536.63</w:t>
      </w:r>
      <w:r>
        <w:rPr>
          <w:rFonts w:hint="eastAsia" w:ascii="宋体" w:hAnsi="宋体" w:eastAsia="宋体" w:cs="宋体"/>
          <w:sz w:val="32"/>
          <w:szCs w:val="32"/>
        </w:rPr>
        <w:t>万元，其中：财政拨款收入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4536.63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100</w:t>
      </w:r>
      <w:r>
        <w:rPr>
          <w:rFonts w:hint="eastAsia" w:ascii="宋体" w:hAnsi="宋体" w:eastAsia="宋体" w:cs="宋体"/>
          <w:sz w:val="32"/>
          <w:szCs w:val="32"/>
        </w:rPr>
        <w:t>%；上级补助收入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%；事业收入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%；经营收入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%；其他收入万元，占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%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上年结余资金222.02万元</w:t>
      </w:r>
      <w:r>
        <w:rPr>
          <w:rFonts w:hint="eastAsia" w:ascii="宋体" w:hAnsi="宋体" w:eastAsia="宋体" w:cs="宋体"/>
          <w:sz w:val="32"/>
          <w:szCs w:val="32"/>
        </w:rPr>
        <w:t>。本年支出合计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4688.44</w:t>
      </w:r>
      <w:r>
        <w:rPr>
          <w:rFonts w:hint="eastAsia" w:ascii="宋体" w:hAnsi="宋体" w:eastAsia="宋体" w:cs="宋体"/>
          <w:sz w:val="32"/>
          <w:szCs w:val="32"/>
        </w:rPr>
        <w:t>万元，其中：基本支出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1887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</w:t>
      </w:r>
      <w:r>
        <w:rPr>
          <w:rFonts w:hint="eastAsia" w:ascii="宋体" w:hAnsi="宋体" w:eastAsia="宋体" w:cs="宋体"/>
          <w:sz w:val="32"/>
          <w:szCs w:val="32"/>
        </w:rPr>
        <w:t>%；项目支出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2801.43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60</w:t>
      </w:r>
      <w:r>
        <w:rPr>
          <w:rFonts w:hint="eastAsia" w:ascii="宋体" w:hAnsi="宋体" w:eastAsia="宋体" w:cs="宋体"/>
          <w:sz w:val="32"/>
          <w:szCs w:val="32"/>
        </w:rPr>
        <w:t>%；经营支出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%。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截止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年末固定资产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总计：2302441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，财政财务管理制度及执行情况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良好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单位整体支出绩效状况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财务管理制度建设情况：资金拨付严格按程序申报、审批，合理合规使用资金，确保财政资金安全。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资产管理：及时按照要求报送资产情况报表，确保各项资产核算准确、帐实相符、管理到位。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预决算公开：及时在市人民政府门户网站上进行了预决算公开。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“三公经费”控制情况：能严格遵守各项规章制度，严控“三公”经费支出，“三公经费”减少，并及时在市人民政府门户网站上对“三公”经费情况进行公示。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认真履行职责，及时报送财政供养信息、存量资金等有关资料及报表。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存在的问题及原因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1、预算编制工作有待细化。预算编制不够明确和细化，预算编制的合理性需要提高，预算执行力度还要进一步加强。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2、因单位全额编制少导致经费不足：绩效工资和日常公用经费不足、与实际支出相差较大。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3、公用经费控制有一定难度，基本为刚性支出。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、提高财政资金绩效的措施与建议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完善资产管理，抓好“三公”经费控制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4、对相关人员加强培训，特别是针对《预算法》《行政事业单位会计制度》等学习培训，规范部门预算收支核算，切实提高部门预算收支管理水平。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五、附件（佐证依据）</w:t>
      </w:r>
    </w:p>
    <w:p>
      <w:pP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无</w:t>
      </w:r>
    </w:p>
    <w:p>
      <w:pP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  两市塘街道办事处</w:t>
      </w:r>
    </w:p>
    <w:p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2021年9月23日</w:t>
      </w:r>
      <w:r>
        <w:rPr>
          <w:rFonts w:hint="eastAsia" w:ascii="宋体" w:hAnsi="宋体" w:eastAsia="宋体" w:cs="宋体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5F47D0"/>
    <w:multiLevelType w:val="singleLevel"/>
    <w:tmpl w:val="685F47D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9178D"/>
    <w:rsid w:val="148B43B8"/>
    <w:rsid w:val="4859178D"/>
    <w:rsid w:val="6B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2021-09-23T00:51:00Z</dcterms:created>
  <dc:creator>Administrator</dc:creator>
  <cp:lastModifiedBy>Administrator</cp:lastModifiedBy>
  <dcterms:modified xsi:type="dcterms:W3CDTF">2021-09-23T03:11:05Z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E26713E5EA4C4D7AAFB3E58F1247595F</vt:lpwstr>
  </property>
</Properties>
</file>