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仿宋" w:hAnsi="仿宋" w:eastAsia="仿宋" w:cs="仿宋"/>
          <w:b/>
          <w:bCs w:val="0"/>
          <w:color w:val="000000" w:themeColor="text1"/>
          <w:kern w:val="0"/>
          <w:sz w:val="32"/>
          <w:szCs w:val="32"/>
          <w14:textFill>
            <w14:solidFill>
              <w14:schemeClr w14:val="tx1"/>
            </w14:solidFill>
          </w14:textFill>
        </w:rPr>
      </w:pPr>
      <w:r>
        <w:rPr>
          <w:rFonts w:hint="eastAsia" w:ascii="仿宋" w:hAnsi="仿宋" w:eastAsia="仿宋" w:cs="仿宋"/>
          <w:b/>
          <w:bCs w:val="0"/>
          <w:color w:val="000000" w:themeColor="text1"/>
          <w:kern w:val="0"/>
          <w:sz w:val="32"/>
          <w:szCs w:val="32"/>
          <w:lang w:eastAsia="zh-CN"/>
          <w14:textFill>
            <w14:solidFill>
              <w14:schemeClr w14:val="tx1"/>
            </w14:solidFill>
          </w14:textFill>
        </w:rPr>
        <w:t>相</w:t>
      </w:r>
      <w:r>
        <w:rPr>
          <w:rFonts w:hint="eastAsia" w:ascii="仿宋" w:hAnsi="仿宋" w:eastAsia="仿宋" w:cs="仿宋"/>
          <w:b/>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b/>
          <w:bCs w:val="0"/>
          <w:color w:val="000000" w:themeColor="text1"/>
          <w:kern w:val="0"/>
          <w:sz w:val="32"/>
          <w:szCs w:val="32"/>
          <w:lang w:eastAsia="zh-CN"/>
          <w14:textFill>
            <w14:solidFill>
              <w14:schemeClr w14:val="tx1"/>
            </w14:solidFill>
          </w14:textFill>
        </w:rPr>
        <w:t>关</w:t>
      </w:r>
      <w:r>
        <w:rPr>
          <w:rFonts w:hint="eastAsia" w:ascii="仿宋" w:hAnsi="仿宋" w:eastAsia="仿宋" w:cs="仿宋"/>
          <w:b/>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b/>
          <w:bCs w:val="0"/>
          <w:color w:val="000000" w:themeColor="text1"/>
          <w:kern w:val="0"/>
          <w:sz w:val="32"/>
          <w:szCs w:val="32"/>
          <w14:textFill>
            <w14:solidFill>
              <w14:schemeClr w14:val="tx1"/>
            </w14:solidFill>
          </w14:textFill>
        </w:rPr>
        <w:t>说</w:t>
      </w:r>
      <w:r>
        <w:rPr>
          <w:rFonts w:hint="eastAsia" w:ascii="仿宋" w:hAnsi="仿宋" w:eastAsia="仿宋" w:cs="仿宋"/>
          <w:b/>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b/>
          <w:bCs w:val="0"/>
          <w:color w:val="000000" w:themeColor="text1"/>
          <w:kern w:val="0"/>
          <w:sz w:val="32"/>
          <w:szCs w:val="32"/>
          <w14:textFill>
            <w14:solidFill>
              <w14:schemeClr w14:val="tx1"/>
            </w14:solidFill>
          </w14:textFill>
        </w:rPr>
        <w:t>明</w:t>
      </w:r>
    </w:p>
    <w:p>
      <w:pPr>
        <w:widowControl/>
        <w:spacing w:line="600" w:lineRule="exact"/>
        <w:jc w:val="left"/>
        <w:rPr>
          <w:rFonts w:hint="eastAsia" w:ascii="仿宋" w:hAnsi="仿宋" w:eastAsia="仿宋" w:cs="仿宋"/>
          <w:b w:val="0"/>
          <w:bCs/>
          <w:color w:val="000000" w:themeColor="text1"/>
          <w:kern w:val="0"/>
          <w:sz w:val="30"/>
          <w:szCs w:val="30"/>
          <w:lang w:eastAsia="zh-CN"/>
          <w14:textFill>
            <w14:solidFill>
              <w14:schemeClr w14:val="tx1"/>
            </w14:solidFill>
          </w14:textFill>
        </w:rPr>
      </w:pPr>
    </w:p>
    <w:p>
      <w:pPr>
        <w:widowControl/>
        <w:spacing w:line="600" w:lineRule="exact"/>
        <w:jc w:val="left"/>
        <w:rPr>
          <w:rFonts w:hint="eastAsia" w:ascii="仿宋" w:hAnsi="仿宋" w:eastAsia="仿宋" w:cs="仿宋"/>
          <w:b w:val="0"/>
          <w:bCs/>
          <w:color w:val="000000" w:themeColor="text1"/>
          <w:kern w:val="0"/>
          <w:sz w:val="30"/>
          <w:szCs w:val="30"/>
          <w:lang w:val="en-US" w:eastAsia="zh-CN"/>
          <w14:textFill>
            <w14:solidFill>
              <w14:schemeClr w14:val="tx1"/>
            </w14:solidFill>
          </w14:textFill>
        </w:rPr>
      </w:pPr>
      <w:r>
        <w:rPr>
          <w:rFonts w:hint="eastAsia" w:ascii="仿宋" w:hAnsi="仿宋" w:eastAsia="仿宋" w:cs="仿宋"/>
          <w:b w:val="0"/>
          <w:bCs/>
          <w:color w:val="000000" w:themeColor="text1"/>
          <w:kern w:val="0"/>
          <w:sz w:val="30"/>
          <w:szCs w:val="30"/>
          <w:lang w:eastAsia="zh-CN"/>
          <w14:textFill>
            <w14:solidFill>
              <w14:schemeClr w14:val="tx1"/>
            </w14:solidFill>
          </w14:textFill>
        </w:rPr>
        <w:t>一、</w:t>
      </w:r>
      <w:r>
        <w:rPr>
          <w:rFonts w:hint="eastAsia" w:ascii="仿宋" w:hAnsi="仿宋" w:eastAsia="仿宋" w:cs="仿宋"/>
          <w:b w:val="0"/>
          <w:bCs/>
          <w:color w:val="000000" w:themeColor="text1"/>
          <w:kern w:val="0"/>
          <w:sz w:val="30"/>
          <w:szCs w:val="30"/>
          <w:lang w:val="en-US" w:eastAsia="zh-CN"/>
          <w14:textFill>
            <w14:solidFill>
              <w14:schemeClr w14:val="tx1"/>
            </w14:solidFill>
          </w14:textFill>
        </w:rPr>
        <w:t xml:space="preserve"> 税收返还和转移支付情况</w:t>
      </w:r>
    </w:p>
    <w:p>
      <w:pPr>
        <w:spacing w:line="600" w:lineRule="exact"/>
        <w:ind w:firstLine="600" w:firstLineChars="200"/>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（一）税收返还</w:t>
      </w:r>
    </w:p>
    <w:p>
      <w:pPr>
        <w:spacing w:line="600" w:lineRule="exact"/>
        <w:ind w:firstLine="600" w:firstLineChars="200"/>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税收返还</w:t>
      </w:r>
      <w:r>
        <w:rPr>
          <w:rFonts w:hint="eastAsia" w:ascii="仿宋" w:hAnsi="仿宋" w:eastAsia="仿宋" w:cs="仿宋"/>
          <w:b w:val="0"/>
          <w:bCs/>
          <w:color w:val="000000" w:themeColor="text1"/>
          <w:sz w:val="30"/>
          <w:szCs w:val="30"/>
          <w:lang w:eastAsia="zh-CN"/>
          <w14:textFill>
            <w14:solidFill>
              <w14:schemeClr w14:val="tx1"/>
            </w14:solidFill>
          </w14:textFill>
        </w:rPr>
        <w:t>收入</w:t>
      </w:r>
      <w:r>
        <w:rPr>
          <w:rFonts w:hint="eastAsia" w:ascii="仿宋" w:hAnsi="仿宋" w:eastAsia="仿宋" w:cs="仿宋"/>
          <w:b w:val="0"/>
          <w:bCs/>
          <w:color w:val="000000" w:themeColor="text1"/>
          <w:sz w:val="30"/>
          <w:szCs w:val="30"/>
          <w:lang w:val="en-US" w:eastAsia="zh-CN"/>
          <w14:textFill>
            <w14:solidFill>
              <w14:schemeClr w14:val="tx1"/>
            </w14:solidFill>
          </w14:textFill>
        </w:rPr>
        <w:t>16414万元</w:t>
      </w:r>
      <w:r>
        <w:rPr>
          <w:rFonts w:hint="eastAsia" w:ascii="仿宋" w:hAnsi="仿宋" w:eastAsia="仿宋" w:cs="仿宋"/>
          <w:b w:val="0"/>
          <w:bCs/>
          <w:color w:val="000000" w:themeColor="text1"/>
          <w:sz w:val="30"/>
          <w:szCs w:val="30"/>
          <w14:textFill>
            <w14:solidFill>
              <w14:schemeClr w14:val="tx1"/>
            </w14:solidFill>
          </w14:textFill>
        </w:rPr>
        <w:t>，</w:t>
      </w:r>
      <w:r>
        <w:rPr>
          <w:rFonts w:hint="eastAsia" w:ascii="仿宋" w:hAnsi="仿宋" w:eastAsia="仿宋" w:cs="仿宋"/>
          <w:b w:val="0"/>
          <w:bCs/>
          <w:color w:val="000000" w:themeColor="text1"/>
          <w:sz w:val="30"/>
          <w:szCs w:val="30"/>
          <w:lang w:eastAsia="zh-CN"/>
          <w14:textFill>
            <w14:solidFill>
              <w14:schemeClr w14:val="tx1"/>
            </w14:solidFill>
          </w14:textFill>
        </w:rPr>
        <w:t>其中：</w:t>
      </w:r>
      <w:r>
        <w:rPr>
          <w:rFonts w:hint="eastAsia" w:ascii="仿宋" w:hAnsi="仿宋" w:eastAsia="仿宋" w:cs="仿宋"/>
          <w:b w:val="0"/>
          <w:bCs/>
          <w:color w:val="000000" w:themeColor="text1"/>
          <w:sz w:val="30"/>
          <w:szCs w:val="30"/>
          <w14:textFill>
            <w14:solidFill>
              <w14:schemeClr w14:val="tx1"/>
            </w14:solidFill>
          </w14:textFill>
        </w:rPr>
        <w:t>增值税</w:t>
      </w:r>
      <w:r>
        <w:rPr>
          <w:rFonts w:hint="eastAsia" w:ascii="仿宋" w:hAnsi="仿宋" w:eastAsia="仿宋" w:cs="仿宋"/>
          <w:b w:val="0"/>
          <w:bCs/>
          <w:color w:val="000000" w:themeColor="text1"/>
          <w:sz w:val="30"/>
          <w:szCs w:val="30"/>
          <w:lang w:eastAsia="zh-CN"/>
          <w14:textFill>
            <w14:solidFill>
              <w14:schemeClr w14:val="tx1"/>
            </w14:solidFill>
          </w14:textFill>
        </w:rPr>
        <w:t>和</w:t>
      </w:r>
      <w:r>
        <w:rPr>
          <w:rFonts w:hint="eastAsia" w:ascii="仿宋" w:hAnsi="仿宋" w:eastAsia="仿宋" w:cs="仿宋"/>
          <w:b w:val="0"/>
          <w:bCs/>
          <w:color w:val="000000" w:themeColor="text1"/>
          <w:sz w:val="30"/>
          <w:szCs w:val="30"/>
          <w14:textFill>
            <w14:solidFill>
              <w14:schemeClr w14:val="tx1"/>
            </w14:solidFill>
          </w14:textFill>
        </w:rPr>
        <w:t>消费税税收返还</w:t>
      </w:r>
      <w:r>
        <w:rPr>
          <w:rFonts w:hint="eastAsia" w:ascii="仿宋" w:hAnsi="仿宋" w:eastAsia="仿宋" w:cs="仿宋"/>
          <w:b w:val="0"/>
          <w:bCs/>
          <w:color w:val="000000" w:themeColor="text1"/>
          <w:sz w:val="30"/>
          <w:szCs w:val="30"/>
          <w:lang w:val="en-US" w:eastAsia="zh-CN"/>
          <w14:textFill>
            <w14:solidFill>
              <w14:schemeClr w14:val="tx1"/>
            </w14:solidFill>
          </w14:textFill>
        </w:rPr>
        <w:t>11226万元，</w:t>
      </w:r>
      <w:r>
        <w:rPr>
          <w:rFonts w:hint="eastAsia" w:ascii="仿宋" w:hAnsi="仿宋" w:eastAsia="仿宋" w:cs="仿宋"/>
          <w:b w:val="0"/>
          <w:bCs/>
          <w:color w:val="000000" w:themeColor="text1"/>
          <w:sz w:val="30"/>
          <w:szCs w:val="30"/>
          <w14:textFill>
            <w14:solidFill>
              <w14:schemeClr w14:val="tx1"/>
            </w14:solidFill>
          </w14:textFill>
        </w:rPr>
        <w:t>所得税基数返还</w:t>
      </w:r>
      <w:r>
        <w:rPr>
          <w:rFonts w:hint="eastAsia" w:ascii="仿宋" w:hAnsi="仿宋" w:eastAsia="仿宋" w:cs="仿宋"/>
          <w:b w:val="0"/>
          <w:bCs/>
          <w:color w:val="000000" w:themeColor="text1"/>
          <w:sz w:val="30"/>
          <w:szCs w:val="30"/>
          <w:lang w:val="en-US" w:eastAsia="zh-CN"/>
          <w14:textFill>
            <w14:solidFill>
              <w14:schemeClr w14:val="tx1"/>
            </w14:solidFill>
          </w14:textFill>
        </w:rPr>
        <w:t>1839万元，</w:t>
      </w:r>
      <w:r>
        <w:rPr>
          <w:rFonts w:hint="eastAsia" w:ascii="仿宋" w:hAnsi="仿宋" w:eastAsia="仿宋" w:cs="仿宋"/>
          <w:b w:val="0"/>
          <w:bCs/>
          <w:color w:val="000000" w:themeColor="text1"/>
          <w:sz w:val="30"/>
          <w:szCs w:val="30"/>
          <w14:textFill>
            <w14:solidFill>
              <w14:schemeClr w14:val="tx1"/>
            </w14:solidFill>
          </w14:textFill>
        </w:rPr>
        <w:t>成品油税费改革税收返还</w:t>
      </w:r>
      <w:r>
        <w:rPr>
          <w:rFonts w:hint="eastAsia" w:ascii="仿宋" w:hAnsi="仿宋" w:eastAsia="仿宋" w:cs="仿宋"/>
          <w:b w:val="0"/>
          <w:bCs/>
          <w:color w:val="000000" w:themeColor="text1"/>
          <w:sz w:val="30"/>
          <w:szCs w:val="30"/>
          <w:lang w:val="en-US" w:eastAsia="zh-CN"/>
          <w14:textFill>
            <w14:solidFill>
              <w14:schemeClr w14:val="tx1"/>
            </w14:solidFill>
          </w14:textFill>
        </w:rPr>
        <w:t>1446万元，</w:t>
      </w:r>
      <w:r>
        <w:rPr>
          <w:rFonts w:hint="eastAsia" w:ascii="仿宋" w:hAnsi="仿宋" w:eastAsia="仿宋" w:cs="仿宋"/>
          <w:b w:val="0"/>
          <w:bCs/>
          <w:color w:val="000000" w:themeColor="text1"/>
          <w:sz w:val="30"/>
          <w:szCs w:val="30"/>
          <w14:textFill>
            <w14:solidFill>
              <w14:schemeClr w14:val="tx1"/>
            </w14:solidFill>
          </w14:textFill>
        </w:rPr>
        <w:t>其他税收返还</w:t>
      </w:r>
      <w:r>
        <w:rPr>
          <w:rFonts w:hint="eastAsia" w:ascii="仿宋" w:hAnsi="仿宋" w:eastAsia="仿宋" w:cs="仿宋"/>
          <w:b w:val="0"/>
          <w:bCs/>
          <w:color w:val="000000" w:themeColor="text1"/>
          <w:sz w:val="30"/>
          <w:szCs w:val="30"/>
          <w:lang w:val="en-US" w:eastAsia="zh-CN"/>
          <w14:textFill>
            <w14:solidFill>
              <w14:schemeClr w14:val="tx1"/>
            </w14:solidFill>
          </w14:textFill>
        </w:rPr>
        <w:t>1903万元。</w:t>
      </w:r>
    </w:p>
    <w:p>
      <w:pPr>
        <w:spacing w:line="600" w:lineRule="exact"/>
        <w:ind w:firstLine="600" w:firstLineChars="200"/>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14:textFill>
            <w14:solidFill>
              <w14:schemeClr w14:val="tx1"/>
            </w14:solidFill>
          </w14:textFill>
        </w:rPr>
        <w:t>（二）一般性转移支付</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一般性转移支付</w:t>
      </w:r>
      <w:r>
        <w:rPr>
          <w:rFonts w:hint="eastAsia" w:ascii="仿宋" w:hAnsi="仿宋" w:eastAsia="仿宋" w:cs="仿宋"/>
          <w:color w:val="000000" w:themeColor="text1"/>
          <w:sz w:val="30"/>
          <w:szCs w:val="30"/>
          <w:lang w:val="en-US" w:eastAsia="zh-CN"/>
          <w14:textFill>
            <w14:solidFill>
              <w14:schemeClr w14:val="tx1"/>
            </w14:solidFill>
          </w14:textFill>
        </w:rPr>
        <w:t>390656万元</w:t>
      </w:r>
      <w:r>
        <w:rPr>
          <w:rFonts w:hint="eastAsia" w:ascii="仿宋" w:hAnsi="仿宋" w:eastAsia="仿宋" w:cs="仿宋"/>
          <w:color w:val="000000" w:themeColor="text1"/>
          <w:sz w:val="30"/>
          <w:szCs w:val="30"/>
          <w14:textFill>
            <w14:solidFill>
              <w14:schemeClr w14:val="tx1"/>
            </w14:solidFill>
          </w14:textFill>
        </w:rPr>
        <w:t>，比上年</w:t>
      </w:r>
      <w:r>
        <w:rPr>
          <w:rFonts w:hint="eastAsia" w:ascii="仿宋" w:hAnsi="仿宋" w:eastAsia="仿宋" w:cs="仿宋"/>
          <w:color w:val="000000" w:themeColor="text1"/>
          <w:sz w:val="30"/>
          <w:szCs w:val="30"/>
          <w:lang w:eastAsia="zh-CN"/>
          <w14:textFill>
            <w14:solidFill>
              <w14:schemeClr w14:val="tx1"/>
            </w14:solidFill>
          </w14:textFill>
        </w:rPr>
        <w:t>减少</w:t>
      </w:r>
      <w:r>
        <w:rPr>
          <w:rFonts w:hint="eastAsia" w:ascii="仿宋" w:hAnsi="仿宋" w:eastAsia="仿宋" w:cs="仿宋"/>
          <w:color w:val="000000" w:themeColor="text1"/>
          <w:sz w:val="30"/>
          <w:szCs w:val="30"/>
          <w:lang w:val="en-US" w:eastAsia="zh-CN"/>
          <w14:textFill>
            <w14:solidFill>
              <w14:schemeClr w14:val="tx1"/>
            </w14:solidFill>
          </w14:textFill>
        </w:rPr>
        <w:t xml:space="preserve"> 42235 万元</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降低</w:t>
      </w:r>
      <w:r>
        <w:rPr>
          <w:rFonts w:hint="eastAsia" w:ascii="仿宋" w:hAnsi="仿宋" w:eastAsia="仿宋" w:cs="仿宋"/>
          <w:color w:val="000000" w:themeColor="text1"/>
          <w:sz w:val="30"/>
          <w:szCs w:val="30"/>
          <w:lang w:val="en-US" w:eastAsia="zh-CN"/>
          <w14:textFill>
            <w14:solidFill>
              <w14:schemeClr w14:val="tx1"/>
            </w14:solidFill>
          </w14:textFill>
        </w:rPr>
        <w:t>9.76%</w:t>
      </w:r>
      <w:r>
        <w:rPr>
          <w:rFonts w:hint="eastAsia" w:ascii="仿宋" w:hAnsi="仿宋" w:eastAsia="仿宋" w:cs="仿宋"/>
          <w:color w:val="000000" w:themeColor="text1"/>
          <w:sz w:val="30"/>
          <w:szCs w:val="30"/>
          <w14:textFill>
            <w14:solidFill>
              <w14:schemeClr w14:val="tx1"/>
            </w14:solidFill>
          </w14:textFill>
        </w:rPr>
        <w:t>。</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均衡性转移支付</w:t>
      </w:r>
      <w:r>
        <w:rPr>
          <w:rFonts w:hint="eastAsia" w:ascii="仿宋" w:hAnsi="仿宋" w:eastAsia="仿宋" w:cs="仿宋"/>
          <w:color w:val="000000" w:themeColor="text1"/>
          <w:sz w:val="30"/>
          <w:szCs w:val="30"/>
          <w:lang w:eastAsia="zh-CN"/>
          <w14:textFill>
            <w14:solidFill>
              <w14:schemeClr w14:val="tx1"/>
            </w14:solidFill>
          </w14:textFill>
        </w:rPr>
        <w:t>收入</w:t>
      </w:r>
      <w:r>
        <w:rPr>
          <w:rFonts w:hint="eastAsia" w:ascii="仿宋" w:hAnsi="仿宋" w:eastAsia="仿宋" w:cs="仿宋"/>
          <w:color w:val="000000" w:themeColor="text1"/>
          <w:sz w:val="30"/>
          <w:szCs w:val="30"/>
          <w:lang w:val="en-US" w:eastAsia="zh-CN"/>
          <w14:textFill>
            <w14:solidFill>
              <w14:schemeClr w14:val="tx1"/>
            </w14:solidFill>
          </w14:textFill>
        </w:rPr>
        <w:t>131520万元</w:t>
      </w:r>
      <w:r>
        <w:rPr>
          <w:rFonts w:hint="eastAsia" w:ascii="仿宋" w:hAnsi="仿宋" w:eastAsia="仿宋" w:cs="仿宋"/>
          <w:color w:val="000000" w:themeColor="text1"/>
          <w:sz w:val="30"/>
          <w:szCs w:val="30"/>
          <w14:textFill>
            <w14:solidFill>
              <w14:schemeClr w14:val="tx1"/>
            </w14:solidFill>
          </w14:textFill>
        </w:rPr>
        <w:t>, 比上年增加</w:t>
      </w:r>
      <w:r>
        <w:rPr>
          <w:rFonts w:hint="eastAsia" w:ascii="仿宋" w:hAnsi="仿宋" w:eastAsia="仿宋" w:cs="仿宋"/>
          <w:color w:val="000000" w:themeColor="text1"/>
          <w:sz w:val="30"/>
          <w:szCs w:val="30"/>
          <w:lang w:val="en-US" w:eastAsia="zh-CN"/>
          <w14:textFill>
            <w14:solidFill>
              <w14:schemeClr w14:val="tx1"/>
            </w14:solidFill>
          </w14:textFill>
        </w:rPr>
        <w:t>6140 万元</w:t>
      </w:r>
      <w:r>
        <w:rPr>
          <w:rFonts w:hint="eastAsia" w:ascii="仿宋" w:hAnsi="仿宋" w:eastAsia="仿宋" w:cs="仿宋"/>
          <w:color w:val="000000" w:themeColor="text1"/>
          <w:sz w:val="30"/>
          <w:szCs w:val="30"/>
          <w14:textFill>
            <w14:solidFill>
              <w14:schemeClr w14:val="tx1"/>
            </w14:solidFill>
          </w14:textFill>
        </w:rPr>
        <w:t>，增长</w:t>
      </w:r>
      <w:r>
        <w:rPr>
          <w:rFonts w:hint="eastAsia" w:ascii="仿宋" w:hAnsi="仿宋" w:eastAsia="仿宋" w:cs="仿宋"/>
          <w:color w:val="000000" w:themeColor="text1"/>
          <w:sz w:val="30"/>
          <w:szCs w:val="30"/>
          <w:lang w:val="en-US" w:eastAsia="zh-CN"/>
          <w14:textFill>
            <w14:solidFill>
              <w14:schemeClr w14:val="tx1"/>
            </w14:solidFill>
          </w14:textFill>
        </w:rPr>
        <w:t xml:space="preserve"> 4.9% </w:t>
      </w:r>
      <w:r>
        <w:rPr>
          <w:rFonts w:hint="eastAsia" w:ascii="仿宋" w:hAnsi="仿宋" w:eastAsia="仿宋" w:cs="仿宋"/>
          <w:color w:val="000000" w:themeColor="text1"/>
          <w:sz w:val="30"/>
          <w:szCs w:val="30"/>
          <w:lang w:eastAsia="zh-CN"/>
          <w14:textFill>
            <w14:solidFill>
              <w14:schemeClr w14:val="tx1"/>
            </w14:solidFill>
          </w14:textFill>
        </w:rPr>
        <w:t>；</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县级基本财力保障机制奖补资金收入45625万元，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,2435万元，增长5.64 % ；</w:t>
      </w:r>
    </w:p>
    <w:p>
      <w:pPr>
        <w:spacing w:line="600" w:lineRule="exact"/>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增值税留抵退税转移支付收入2000万元，新增项目；</w:t>
      </w:r>
    </w:p>
    <w:p>
      <w:pPr>
        <w:spacing w:line="600" w:lineRule="exact"/>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其他退税减税降费转移支付收入1500万元，新增项目；</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结算补助</w:t>
      </w:r>
      <w:r>
        <w:rPr>
          <w:rFonts w:hint="eastAsia" w:ascii="仿宋" w:hAnsi="仿宋" w:eastAsia="仿宋" w:cs="仿宋"/>
          <w:color w:val="000000" w:themeColor="text1"/>
          <w:sz w:val="30"/>
          <w:szCs w:val="30"/>
          <w:lang w:val="en-US" w:eastAsia="zh-CN"/>
          <w14:textFill>
            <w14:solidFill>
              <w14:schemeClr w14:val="tx1"/>
            </w14:solidFill>
          </w14:textFill>
        </w:rPr>
        <w:t>10970万元</w:t>
      </w:r>
      <w:r>
        <w:rPr>
          <w:rFonts w:hint="eastAsia" w:ascii="仿宋" w:hAnsi="仿宋" w:eastAsia="仿宋" w:cs="仿宋"/>
          <w:color w:val="000000" w:themeColor="text1"/>
          <w:sz w:val="30"/>
          <w:szCs w:val="30"/>
          <w14:textFill>
            <w14:solidFill>
              <w14:schemeClr w14:val="tx1"/>
            </w14:solidFill>
          </w14:textFill>
        </w:rPr>
        <w:t>, 比上年增加</w:t>
      </w:r>
      <w:r>
        <w:rPr>
          <w:rFonts w:hint="eastAsia" w:ascii="仿宋" w:hAnsi="仿宋" w:eastAsia="仿宋" w:cs="仿宋"/>
          <w:color w:val="000000" w:themeColor="text1"/>
          <w:sz w:val="30"/>
          <w:szCs w:val="30"/>
          <w:lang w:val="en-US" w:eastAsia="zh-CN"/>
          <w14:textFill>
            <w14:solidFill>
              <w14:schemeClr w14:val="tx1"/>
            </w14:solidFill>
          </w14:textFill>
        </w:rPr>
        <w:t>7226万元</w:t>
      </w:r>
      <w:r>
        <w:rPr>
          <w:rFonts w:hint="eastAsia" w:ascii="仿宋" w:hAnsi="仿宋" w:eastAsia="仿宋" w:cs="仿宋"/>
          <w:color w:val="000000" w:themeColor="text1"/>
          <w:sz w:val="30"/>
          <w:szCs w:val="30"/>
          <w14:textFill>
            <w14:solidFill>
              <w14:schemeClr w14:val="tx1"/>
            </w14:solidFill>
          </w14:textFill>
        </w:rPr>
        <w:t>，增长</w:t>
      </w:r>
      <w:r>
        <w:rPr>
          <w:rFonts w:hint="eastAsia" w:ascii="仿宋" w:hAnsi="仿宋" w:eastAsia="仿宋" w:cs="仿宋"/>
          <w:color w:val="000000" w:themeColor="text1"/>
          <w:sz w:val="30"/>
          <w:szCs w:val="30"/>
          <w:lang w:val="en-US" w:eastAsia="zh-CN"/>
          <w14:textFill>
            <w14:solidFill>
              <w14:schemeClr w14:val="tx1"/>
            </w14:solidFill>
          </w14:textFill>
        </w:rPr>
        <w:t xml:space="preserve"> 193% ，根据上年度情况预计</w:t>
      </w:r>
      <w:r>
        <w:rPr>
          <w:rFonts w:hint="eastAsia" w:ascii="仿宋" w:hAnsi="仿宋" w:eastAsia="仿宋" w:cs="仿宋"/>
          <w:color w:val="000000" w:themeColor="text1"/>
          <w:sz w:val="30"/>
          <w:szCs w:val="30"/>
          <w:lang w:eastAsia="zh-CN"/>
          <w14:textFill>
            <w14:solidFill>
              <w14:schemeClr w14:val="tx1"/>
            </w14:solidFill>
          </w14:textFill>
        </w:rPr>
        <w:t>；</w:t>
      </w:r>
    </w:p>
    <w:p>
      <w:pPr>
        <w:spacing w:line="600" w:lineRule="exact"/>
        <w:ind w:firstLine="600" w:firstLineChars="200"/>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资源枯竭型城市转移支付补助收入1123万元，比上年增加267万元，增长31%</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企业事业单位划转补助收入994万元，与上年持平；</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产粮（油）大县奖励资金收入</w:t>
      </w:r>
      <w:r>
        <w:rPr>
          <w:rFonts w:hint="eastAsia" w:ascii="仿宋" w:hAnsi="仿宋" w:eastAsia="仿宋" w:cs="仿宋"/>
          <w:color w:val="000000" w:themeColor="text1"/>
          <w:sz w:val="30"/>
          <w:szCs w:val="30"/>
          <w:highlight w:val="none"/>
          <w:lang w:val="en-US" w:eastAsia="zh-CN"/>
          <w14:textFill>
            <w14:solidFill>
              <w14:schemeClr w14:val="tx1"/>
            </w14:solidFill>
          </w14:textFill>
        </w:rPr>
        <w:t>6000</w:t>
      </w:r>
      <w:r>
        <w:rPr>
          <w:rFonts w:hint="eastAsia" w:ascii="仿宋" w:hAnsi="仿宋" w:eastAsia="仿宋" w:cs="仿宋"/>
          <w:color w:val="000000" w:themeColor="text1"/>
          <w:sz w:val="30"/>
          <w:szCs w:val="30"/>
          <w:lang w:val="en-US" w:eastAsia="zh-CN"/>
          <w14:textFill>
            <w14:solidFill>
              <w14:schemeClr w14:val="tx1"/>
            </w14:solidFill>
          </w14:textFill>
        </w:rPr>
        <w:t>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2000万元，增长 50% ；</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革命老区转移支付收入260万元，与上年持平；</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贫困地区转移支付收入7300万元，与上年持平；</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固定数额补助收入19205万元，与上年持平；</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其他一般性转移支付收入138万元，比上年减少1791万元</w:t>
      </w:r>
      <w:r>
        <w:rPr>
          <w:rFonts w:hint="eastAsia" w:ascii="仿宋" w:hAnsi="仿宋" w:eastAsia="仿宋" w:cs="仿宋"/>
          <w:color w:val="000000" w:themeColor="text1"/>
          <w:sz w:val="30"/>
          <w:szCs w:val="30"/>
          <w:lang w:eastAsia="zh-CN"/>
          <w14:textFill>
            <w14:solidFill>
              <w14:schemeClr w14:val="tx1"/>
            </w14:solidFill>
          </w14:textFill>
        </w:rPr>
        <w:t>，降低</w:t>
      </w:r>
      <w:r>
        <w:rPr>
          <w:rFonts w:hint="eastAsia" w:ascii="仿宋" w:hAnsi="仿宋" w:eastAsia="仿宋" w:cs="仿宋"/>
          <w:color w:val="000000" w:themeColor="text1"/>
          <w:sz w:val="30"/>
          <w:szCs w:val="30"/>
          <w:lang w:val="en-US" w:eastAsia="zh-CN"/>
          <w14:textFill>
            <w14:solidFill>
              <w14:schemeClr w14:val="tx1"/>
            </w14:solidFill>
          </w14:textFill>
        </w:rPr>
        <w:t>92.85%，本年度减少了编制数。</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公共安全共同财政事权转移支付收入1750万元，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190万元，增长 12 % ；</w:t>
      </w:r>
    </w:p>
    <w:p>
      <w:pPr>
        <w:spacing w:line="600" w:lineRule="exact"/>
        <w:ind w:left="298" w:leftChars="142" w:firstLine="300" w:firstLineChars="1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教育共同财政事权转移支付收入26242万元，比上年减少 226万元，降低 0.85% ；</w:t>
      </w:r>
    </w:p>
    <w:p>
      <w:pPr>
        <w:spacing w:line="600" w:lineRule="exact"/>
        <w:ind w:left="298" w:leftChars="142" w:firstLine="300" w:firstLineChars="100"/>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科学技术共同财政事权转移支付收入50万元，比上年增加 50万元，增长 100% ；</w:t>
      </w:r>
    </w:p>
    <w:p>
      <w:pPr>
        <w:spacing w:line="60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文化旅游体育与传媒共同财政事权转移支付收入1250万元，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480万元，增长 62.34% ；</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社会保障与就业共同财政事权转移支付收入63179万元，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3615万元，增长 6.07% ；</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卫生健康共同财政事权转移支付收入16329万元，</w:t>
      </w:r>
      <w:r>
        <w:rPr>
          <w:rFonts w:hint="eastAsia" w:ascii="仿宋" w:hAnsi="仿宋" w:eastAsia="仿宋" w:cs="仿宋"/>
          <w:color w:val="000000" w:themeColor="text1"/>
          <w:sz w:val="30"/>
          <w:szCs w:val="30"/>
          <w14:textFill>
            <w14:solidFill>
              <w14:schemeClr w14:val="tx1"/>
            </w14:solidFill>
          </w14:textFill>
        </w:rPr>
        <w:t>比上年</w:t>
      </w:r>
      <w:r>
        <w:rPr>
          <w:rFonts w:hint="eastAsia" w:ascii="仿宋" w:hAnsi="仿宋" w:eastAsia="仿宋" w:cs="仿宋"/>
          <w:color w:val="000000" w:themeColor="text1"/>
          <w:sz w:val="30"/>
          <w:szCs w:val="30"/>
          <w:lang w:eastAsia="zh-CN"/>
          <w14:textFill>
            <w14:solidFill>
              <w14:schemeClr w14:val="tx1"/>
            </w14:solidFill>
          </w14:textFill>
        </w:rPr>
        <w:t>减少</w:t>
      </w:r>
      <w:r>
        <w:rPr>
          <w:rFonts w:hint="eastAsia" w:ascii="仿宋" w:hAnsi="仿宋" w:eastAsia="仿宋" w:cs="仿宋"/>
          <w:color w:val="000000" w:themeColor="text1"/>
          <w:sz w:val="30"/>
          <w:szCs w:val="30"/>
          <w:lang w:val="en-US" w:eastAsia="zh-CN"/>
          <w14:textFill>
            <w14:solidFill>
              <w14:schemeClr w14:val="tx1"/>
            </w14:solidFill>
          </w14:textFill>
        </w:rPr>
        <w:t>56710万元，降低77.64% ，根据实际情况，本年度减少了预算编制数；</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农林水共同财政事权转移支付收入40503万元，</w:t>
      </w:r>
      <w:r>
        <w:rPr>
          <w:rFonts w:hint="eastAsia" w:ascii="仿宋" w:hAnsi="仿宋" w:eastAsia="仿宋" w:cs="仿宋"/>
          <w:color w:val="000000" w:themeColor="text1"/>
          <w:sz w:val="30"/>
          <w:szCs w:val="30"/>
          <w14:textFill>
            <w14:solidFill>
              <w14:schemeClr w14:val="tx1"/>
            </w14:solidFill>
          </w14:textFill>
        </w:rPr>
        <w:t>比上年</w:t>
      </w:r>
      <w:r>
        <w:rPr>
          <w:rFonts w:hint="eastAsia" w:ascii="仿宋" w:hAnsi="仿宋" w:eastAsia="仿宋" w:cs="仿宋"/>
          <w:color w:val="000000" w:themeColor="text1"/>
          <w:sz w:val="30"/>
          <w:szCs w:val="30"/>
          <w:lang w:eastAsia="zh-CN"/>
          <w14:textFill>
            <w14:solidFill>
              <w14:schemeClr w14:val="tx1"/>
            </w14:solidFill>
          </w14:textFill>
        </w:rPr>
        <w:t>减少</w:t>
      </w:r>
      <w:r>
        <w:rPr>
          <w:rFonts w:hint="eastAsia" w:ascii="仿宋" w:hAnsi="仿宋" w:eastAsia="仿宋" w:cs="仿宋"/>
          <w:color w:val="000000" w:themeColor="text1"/>
          <w:sz w:val="30"/>
          <w:szCs w:val="30"/>
          <w:lang w:val="en-US" w:eastAsia="zh-CN"/>
          <w14:textFill>
            <w14:solidFill>
              <w14:schemeClr w14:val="tx1"/>
            </w14:solidFill>
          </w14:textFill>
        </w:rPr>
        <w:t>11545万元，降低22.18% ；</w:t>
      </w:r>
    </w:p>
    <w:p>
      <w:pPr>
        <w:spacing w:line="600" w:lineRule="exact"/>
        <w:ind w:left="596" w:leftChars="284" w:firstLine="0" w:firstLineChars="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交通运输共同财政事权转移支付收入11000万元，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416万元，增长4 % ；</w:t>
      </w:r>
    </w:p>
    <w:p>
      <w:pPr>
        <w:spacing w:line="58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住房保障共同财政事权转移支付收入3300万元，</w:t>
      </w:r>
      <w:r>
        <w:rPr>
          <w:rFonts w:hint="eastAsia" w:ascii="仿宋" w:hAnsi="仿宋" w:eastAsia="仿宋" w:cs="仿宋"/>
          <w:color w:val="000000" w:themeColor="text1"/>
          <w:sz w:val="30"/>
          <w:szCs w:val="30"/>
          <w14:textFill>
            <w14:solidFill>
              <w14:schemeClr w14:val="tx1"/>
            </w14:solidFill>
          </w14:textFill>
        </w:rPr>
        <w:t>比上年增加</w:t>
      </w:r>
      <w:r>
        <w:rPr>
          <w:rFonts w:hint="eastAsia" w:ascii="仿宋" w:hAnsi="仿宋" w:eastAsia="仿宋" w:cs="仿宋"/>
          <w:color w:val="000000" w:themeColor="text1"/>
          <w:sz w:val="30"/>
          <w:szCs w:val="30"/>
          <w:lang w:val="en-US" w:eastAsia="zh-CN"/>
          <w14:textFill>
            <w14:solidFill>
              <w14:schemeClr w14:val="tx1"/>
            </w14:solidFill>
          </w14:textFill>
        </w:rPr>
        <w:t>1300万元，增长65 % ；根据上年度收入情况预计；</w:t>
      </w:r>
    </w:p>
    <w:p>
      <w:pPr>
        <w:spacing w:line="58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粮油物资储备共同财政事权转移支付收入218万元，本年新增；</w:t>
      </w:r>
    </w:p>
    <w:p>
      <w:pPr>
        <w:spacing w:line="580" w:lineRule="exact"/>
        <w:ind w:firstLine="600" w:firstLineChars="200"/>
        <w:rPr>
          <w:rFonts w:hint="eastAsia" w:ascii="仿宋" w:hAnsi="仿宋" w:eastAsia="仿宋" w:cs="仿宋"/>
          <w:b w:val="0"/>
          <w:bCs/>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灾害防治及应急管理共同财政事权转移支付收入200万元；</w:t>
      </w:r>
      <w:r>
        <w:rPr>
          <w:rFonts w:hint="eastAsia" w:ascii="仿宋" w:hAnsi="仿宋" w:eastAsia="仿宋" w:cs="仿宋"/>
          <w:color w:val="000000" w:themeColor="text1"/>
          <w:sz w:val="30"/>
          <w:szCs w:val="30"/>
          <w:lang w:eastAsia="zh-CN"/>
          <w14:textFill>
            <w14:solidFill>
              <w14:schemeClr w14:val="tx1"/>
            </w14:solidFill>
          </w14:textFill>
        </w:rPr>
        <w:t>本年新增</w:t>
      </w:r>
      <w:r>
        <w:rPr>
          <w:rFonts w:hint="eastAsia" w:ascii="仿宋" w:hAnsi="仿宋" w:eastAsia="仿宋" w:cs="仿宋"/>
          <w:color w:val="000000" w:themeColor="text1"/>
          <w:sz w:val="30"/>
          <w:szCs w:val="30"/>
          <w:lang w:val="en-US" w:eastAsia="zh-CN"/>
          <w14:textFill>
            <w14:solidFill>
              <w14:schemeClr w14:val="tx1"/>
            </w14:solidFill>
          </w14:textFill>
        </w:rPr>
        <w:t>；</w:t>
      </w:r>
    </w:p>
    <w:p>
      <w:pPr>
        <w:spacing w:line="580" w:lineRule="exact"/>
        <w:ind w:firstLine="600" w:firstLineChars="200"/>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专项转移支付</w:t>
      </w:r>
      <w:r>
        <w:rPr>
          <w:rFonts w:hint="eastAsia" w:ascii="仿宋" w:hAnsi="仿宋" w:eastAsia="仿宋" w:cs="仿宋"/>
          <w:color w:val="000000" w:themeColor="text1"/>
          <w:sz w:val="30"/>
          <w:szCs w:val="30"/>
          <w:lang w:val="en-US" w:eastAsia="zh-CN"/>
          <w14:textFill>
            <w14:solidFill>
              <w14:schemeClr w14:val="tx1"/>
            </w14:solidFill>
          </w14:textFill>
        </w:rPr>
        <w:t>40000万元</w:t>
      </w:r>
      <w:r>
        <w:rPr>
          <w:rFonts w:hint="eastAsia" w:ascii="仿宋" w:hAnsi="仿宋" w:eastAsia="仿宋" w:cs="仿宋"/>
          <w:color w:val="000000" w:themeColor="text1"/>
          <w:sz w:val="30"/>
          <w:szCs w:val="30"/>
          <w14:textFill>
            <w14:solidFill>
              <w14:schemeClr w14:val="tx1"/>
            </w14:solidFill>
          </w14:textFill>
        </w:rPr>
        <w:t>，比上年</w:t>
      </w:r>
      <w:r>
        <w:rPr>
          <w:rFonts w:hint="eastAsia" w:ascii="仿宋" w:hAnsi="仿宋" w:eastAsia="仿宋" w:cs="仿宋"/>
          <w:color w:val="000000" w:themeColor="text1"/>
          <w:sz w:val="30"/>
          <w:szCs w:val="30"/>
          <w:lang w:eastAsia="zh-CN"/>
          <w14:textFill>
            <w14:solidFill>
              <w14:schemeClr w14:val="tx1"/>
            </w14:solidFill>
          </w14:textFill>
        </w:rPr>
        <w:t>减少</w:t>
      </w:r>
      <w:r>
        <w:rPr>
          <w:rFonts w:hint="eastAsia" w:ascii="仿宋" w:hAnsi="仿宋" w:eastAsia="仿宋" w:cs="仿宋"/>
          <w:color w:val="000000" w:themeColor="text1"/>
          <w:sz w:val="30"/>
          <w:szCs w:val="30"/>
          <w:lang w:val="en-US" w:eastAsia="zh-CN"/>
          <w14:textFill>
            <w14:solidFill>
              <w14:schemeClr w14:val="tx1"/>
            </w14:solidFill>
          </w14:textFill>
        </w:rPr>
        <w:t>5000万元</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降低</w:t>
      </w:r>
      <w:r>
        <w:rPr>
          <w:rFonts w:hint="eastAsia" w:ascii="仿宋" w:hAnsi="仿宋" w:eastAsia="仿宋" w:cs="仿宋"/>
          <w:color w:val="000000" w:themeColor="text1"/>
          <w:sz w:val="30"/>
          <w:szCs w:val="30"/>
          <w:lang w:val="en-US" w:eastAsia="zh-CN"/>
          <w14:textFill>
            <w14:solidFill>
              <w14:schemeClr w14:val="tx1"/>
            </w14:solidFill>
          </w14:textFill>
        </w:rPr>
        <w:t>12.5% ，</w:t>
      </w:r>
      <w:r>
        <w:rPr>
          <w:rFonts w:hint="eastAsia" w:ascii="仿宋" w:hAnsi="仿宋" w:eastAsia="仿宋" w:cs="仿宋"/>
          <w:color w:val="000000" w:themeColor="text1"/>
          <w:sz w:val="30"/>
          <w:szCs w:val="30"/>
          <w14:textFill>
            <w14:solidFill>
              <w14:schemeClr w14:val="tx1"/>
            </w14:solidFill>
          </w14:textFill>
        </w:rPr>
        <w:t>主要</w:t>
      </w:r>
      <w:r>
        <w:rPr>
          <w:rFonts w:hint="eastAsia" w:ascii="仿宋" w:hAnsi="仿宋" w:eastAsia="仿宋" w:cs="仿宋"/>
          <w:color w:val="000000" w:themeColor="text1"/>
          <w:sz w:val="30"/>
          <w:szCs w:val="30"/>
          <w:lang w:eastAsia="zh-CN"/>
          <w14:textFill>
            <w14:solidFill>
              <w14:schemeClr w14:val="tx1"/>
            </w14:solidFill>
          </w14:textFill>
        </w:rPr>
        <w:t>是根据上年度情况预计</w:t>
      </w:r>
      <w:r>
        <w:rPr>
          <w:rFonts w:hint="eastAsia" w:ascii="仿宋" w:hAnsi="仿宋" w:eastAsia="仿宋" w:cs="仿宋"/>
          <w:color w:val="000000" w:themeColor="text1"/>
          <w:sz w:val="30"/>
          <w:szCs w:val="30"/>
          <w14:textFill>
            <w14:solidFill>
              <w14:schemeClr w14:val="tx1"/>
            </w14:solidFill>
          </w14:textFill>
        </w:rPr>
        <w:t>。</w:t>
      </w:r>
    </w:p>
    <w:p>
      <w:pPr>
        <w:spacing w:line="580" w:lineRule="exact"/>
        <w:ind w:firstLine="600" w:firstLineChars="200"/>
        <w:rPr>
          <w:rFonts w:hint="eastAsia" w:ascii="仿宋" w:hAnsi="仿宋" w:eastAsia="仿宋" w:cs="仿宋"/>
          <w:b w:val="0"/>
          <w:bCs/>
          <w:color w:val="000000" w:themeColor="text1"/>
          <w:sz w:val="30"/>
          <w:szCs w:val="30"/>
          <w14:textFill>
            <w14:solidFill>
              <w14:schemeClr w14:val="tx1"/>
            </w14:solidFill>
          </w14:textFill>
        </w:rPr>
      </w:pPr>
    </w:p>
    <w:p>
      <w:pPr>
        <w:spacing w:line="580" w:lineRule="exact"/>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二、举借政府债务情况</w:t>
      </w:r>
    </w:p>
    <w:p>
      <w:pPr>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（一）地方政府债务限额余额情况</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rPr>
        <w:t>年，政府债务总限额</w:t>
      </w:r>
      <w:r>
        <w:rPr>
          <w:rFonts w:hint="eastAsia" w:ascii="仿宋_GB2312" w:hAnsi="仿宋_GB2312" w:eastAsia="仿宋_GB2312" w:cs="仿宋_GB2312"/>
          <w:b w:val="0"/>
          <w:bCs/>
          <w:sz w:val="32"/>
          <w:szCs w:val="32"/>
          <w:lang w:val="en-US" w:eastAsia="zh-CN"/>
        </w:rPr>
        <w:t>81.34亿元</w:t>
      </w:r>
      <w:r>
        <w:rPr>
          <w:rFonts w:hint="eastAsia" w:ascii="仿宋_GB2312" w:hAnsi="仿宋_GB2312" w:eastAsia="仿宋_GB2312" w:cs="仿宋_GB2312"/>
          <w:b w:val="0"/>
          <w:bCs/>
          <w:sz w:val="32"/>
          <w:szCs w:val="32"/>
        </w:rPr>
        <w:t>，其中一般债务限额</w:t>
      </w:r>
      <w:r>
        <w:rPr>
          <w:rFonts w:hint="eastAsia" w:ascii="仿宋_GB2312" w:hAnsi="仿宋_GB2312" w:eastAsia="仿宋_GB2312" w:cs="仿宋_GB2312"/>
          <w:b w:val="0"/>
          <w:bCs/>
          <w:sz w:val="32"/>
          <w:szCs w:val="32"/>
          <w:lang w:val="en-US" w:eastAsia="zh-CN"/>
        </w:rPr>
        <w:t>34.81亿元</w:t>
      </w:r>
      <w:r>
        <w:rPr>
          <w:rFonts w:hint="eastAsia" w:ascii="仿宋_GB2312" w:hAnsi="仿宋_GB2312" w:eastAsia="仿宋_GB2312" w:cs="仿宋_GB2312"/>
          <w:b w:val="0"/>
          <w:bCs/>
          <w:sz w:val="32"/>
          <w:szCs w:val="32"/>
        </w:rPr>
        <w:t>，专项债务限额</w:t>
      </w:r>
      <w:r>
        <w:rPr>
          <w:rFonts w:hint="eastAsia" w:ascii="仿宋_GB2312" w:hAnsi="仿宋_GB2312" w:eastAsia="仿宋_GB2312" w:cs="仿宋_GB2312"/>
          <w:b w:val="0"/>
          <w:bCs/>
          <w:sz w:val="32"/>
          <w:szCs w:val="32"/>
          <w:lang w:val="en-US" w:eastAsia="zh-CN"/>
        </w:rPr>
        <w:t>46.53亿元</w:t>
      </w:r>
      <w:r>
        <w:rPr>
          <w:rFonts w:hint="eastAsia" w:ascii="仿宋_GB2312" w:hAnsi="仿宋_GB2312" w:eastAsia="仿宋_GB2312" w:cs="仿宋_GB2312"/>
          <w:b w:val="0"/>
          <w:bCs/>
          <w:sz w:val="32"/>
          <w:szCs w:val="32"/>
        </w:rPr>
        <w:t>。截止</w:t>
      </w: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rPr>
        <w:t>年底，地方政府债务余额</w:t>
      </w:r>
      <w:r>
        <w:rPr>
          <w:rFonts w:hint="eastAsia" w:ascii="仿宋_GB2312" w:hAnsi="仿宋_GB2312" w:eastAsia="仿宋_GB2312" w:cs="仿宋_GB2312"/>
          <w:b w:val="0"/>
          <w:bCs/>
          <w:sz w:val="32"/>
          <w:szCs w:val="32"/>
          <w:lang w:val="en-US" w:eastAsia="zh-CN"/>
        </w:rPr>
        <w:t>80.82亿元</w:t>
      </w:r>
      <w:r>
        <w:rPr>
          <w:rFonts w:hint="eastAsia" w:ascii="仿宋_GB2312" w:hAnsi="仿宋_GB2312" w:eastAsia="仿宋_GB2312" w:cs="仿宋_GB2312"/>
          <w:b w:val="0"/>
          <w:bCs/>
          <w:sz w:val="32"/>
          <w:szCs w:val="32"/>
        </w:rPr>
        <w:t>，其中一般债务余额</w:t>
      </w:r>
      <w:r>
        <w:rPr>
          <w:rFonts w:hint="eastAsia" w:ascii="仿宋_GB2312" w:hAnsi="仿宋_GB2312" w:eastAsia="仿宋_GB2312" w:cs="仿宋_GB2312"/>
          <w:b w:val="0"/>
          <w:bCs/>
          <w:sz w:val="32"/>
          <w:szCs w:val="32"/>
          <w:lang w:val="en-US" w:eastAsia="zh-CN"/>
        </w:rPr>
        <w:t xml:space="preserve"> 32.49亿元</w:t>
      </w:r>
      <w:r>
        <w:rPr>
          <w:rFonts w:hint="eastAsia" w:ascii="仿宋_GB2312" w:hAnsi="仿宋_GB2312" w:eastAsia="仿宋_GB2312" w:cs="仿宋_GB2312"/>
          <w:b w:val="0"/>
          <w:bCs/>
          <w:sz w:val="32"/>
          <w:szCs w:val="32"/>
        </w:rPr>
        <w:t>，专项债务余额</w:t>
      </w:r>
      <w:r>
        <w:rPr>
          <w:rFonts w:hint="eastAsia" w:ascii="仿宋_GB2312" w:hAnsi="仿宋_GB2312" w:eastAsia="仿宋_GB2312" w:cs="仿宋_GB2312"/>
          <w:b w:val="0"/>
          <w:bCs/>
          <w:sz w:val="32"/>
          <w:szCs w:val="32"/>
          <w:lang w:val="en-US" w:eastAsia="zh-CN"/>
        </w:rPr>
        <w:t>46.53亿元</w:t>
      </w:r>
      <w:r>
        <w:rPr>
          <w:rFonts w:hint="eastAsia" w:ascii="仿宋_GB2312" w:hAnsi="仿宋_GB2312" w:eastAsia="仿宋_GB2312" w:cs="仿宋_GB2312"/>
          <w:b w:val="0"/>
          <w:bCs/>
          <w:sz w:val="32"/>
          <w:szCs w:val="32"/>
        </w:rPr>
        <w:t>。</w:t>
      </w:r>
    </w:p>
    <w:p>
      <w:pPr>
        <w:spacing w:line="580" w:lineRule="exact"/>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（二）地方政府债券发行情况</w:t>
      </w:r>
    </w:p>
    <w:p>
      <w:pPr>
        <w:pBdr>
          <w:top w:val="none" w:color="auto" w:sz="0" w:space="1"/>
          <w:left w:val="none" w:color="auto" w:sz="0" w:space="4"/>
          <w:bottom w:val="none" w:color="auto" w:sz="0" w:space="1"/>
          <w:right w:val="none" w:color="auto" w:sz="0" w:space="4"/>
        </w:pBdr>
        <w:spacing w:line="640" w:lineRule="exact"/>
        <w:ind w:firstLine="640" w:firstLineChars="200"/>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sz w:val="32"/>
          <w:szCs w:val="32"/>
        </w:rPr>
        <w:t>2023年末地方政府债务余额80.82亿元，在财政部批准的限额范围之内。2023年发行政府债券24.01亿元，其中，新增一般债券1.92亿元，新增专项债券16.69亿元，发行再融资债券5.4亿元。</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val="en-US" w:eastAsia="zh-CN"/>
        </w:rPr>
        <w:t>三</w:t>
      </w:r>
      <w:r>
        <w:rPr>
          <w:rFonts w:hint="eastAsia" w:ascii="仿宋_GB2312" w:hAnsi="仿宋_GB2312" w:eastAsia="仿宋_GB2312" w:cs="仿宋_GB2312"/>
          <w:b w:val="0"/>
          <w:bCs/>
          <w:color w:val="000000"/>
          <w:sz w:val="32"/>
          <w:szCs w:val="32"/>
        </w:rPr>
        <w:t>）地方政府债务还本付息情况</w:t>
      </w:r>
      <w:r>
        <w:rPr>
          <w:rFonts w:hint="eastAsia" w:ascii="仿宋_GB2312" w:hAnsi="仿宋_GB2312" w:eastAsia="仿宋_GB2312" w:cs="仿宋_GB2312"/>
          <w:b w:val="0"/>
          <w:bCs/>
          <w:color w:val="000000"/>
          <w:sz w:val="32"/>
          <w:szCs w:val="32"/>
          <w:lang w:val="en-US" w:eastAsia="zh-CN"/>
        </w:rPr>
        <w:t xml:space="preserve">         </w:t>
      </w:r>
    </w:p>
    <w:p>
      <w:pPr>
        <w:spacing w:line="58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2023</w:t>
      </w:r>
      <w:r>
        <w:rPr>
          <w:rFonts w:hint="eastAsia" w:ascii="仿宋_GB2312" w:hAnsi="仿宋_GB2312" w:eastAsia="仿宋_GB2312" w:cs="仿宋_GB2312"/>
          <w:b w:val="0"/>
          <w:bCs/>
          <w:sz w:val="32"/>
          <w:szCs w:val="32"/>
        </w:rPr>
        <w:t>年偿还地方政府债券本金</w:t>
      </w:r>
      <w:r>
        <w:rPr>
          <w:rFonts w:hint="eastAsia" w:ascii="仿宋_GB2312" w:hAnsi="仿宋_GB2312" w:eastAsia="仿宋_GB2312" w:cs="仿宋_GB2312"/>
          <w:b w:val="0"/>
          <w:bCs/>
          <w:sz w:val="32"/>
          <w:szCs w:val="32"/>
          <w:lang w:val="en-US" w:eastAsia="zh-CN"/>
        </w:rPr>
        <w:t>5.4亿元</w:t>
      </w:r>
      <w:r>
        <w:rPr>
          <w:rFonts w:hint="eastAsia" w:ascii="仿宋_GB2312" w:hAnsi="仿宋_GB2312" w:eastAsia="仿宋_GB2312" w:cs="仿宋_GB2312"/>
          <w:b w:val="0"/>
          <w:bCs/>
          <w:sz w:val="32"/>
          <w:szCs w:val="32"/>
        </w:rPr>
        <w:t>，其中一般债券</w:t>
      </w:r>
      <w:r>
        <w:rPr>
          <w:rFonts w:hint="eastAsia" w:ascii="仿宋_GB2312" w:hAnsi="仿宋_GB2312" w:eastAsia="仿宋_GB2312" w:cs="仿宋_GB2312"/>
          <w:b w:val="0"/>
          <w:bCs/>
          <w:sz w:val="32"/>
          <w:szCs w:val="32"/>
          <w:lang w:val="en-US" w:eastAsia="zh-CN"/>
        </w:rPr>
        <w:t xml:space="preserve">  3.66亿元</w:t>
      </w:r>
      <w:r>
        <w:rPr>
          <w:rFonts w:hint="eastAsia" w:ascii="仿宋_GB2312" w:hAnsi="仿宋_GB2312" w:eastAsia="仿宋_GB2312" w:cs="仿宋_GB2312"/>
          <w:b w:val="0"/>
          <w:bCs/>
          <w:sz w:val="32"/>
          <w:szCs w:val="32"/>
        </w:rPr>
        <w:t>，专项债务</w:t>
      </w:r>
      <w:r>
        <w:rPr>
          <w:rFonts w:hint="eastAsia" w:ascii="仿宋_GB2312" w:hAnsi="仿宋_GB2312" w:eastAsia="仿宋_GB2312" w:cs="仿宋_GB2312"/>
          <w:b w:val="0"/>
          <w:bCs/>
          <w:sz w:val="32"/>
          <w:szCs w:val="32"/>
          <w:lang w:val="en-US" w:eastAsia="zh-CN"/>
        </w:rPr>
        <w:t>1.74亿元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支付地方政府债券利息</w:t>
      </w:r>
      <w:r>
        <w:rPr>
          <w:rFonts w:hint="eastAsia" w:ascii="仿宋_GB2312" w:hAnsi="仿宋_GB2312" w:eastAsia="仿宋_GB2312" w:cs="仿宋_GB2312"/>
          <w:b w:val="0"/>
          <w:bCs/>
          <w:sz w:val="32"/>
          <w:szCs w:val="32"/>
          <w:lang w:val="en-US" w:eastAsia="zh-CN"/>
        </w:rPr>
        <w:t>2.05亿元</w:t>
      </w:r>
      <w:r>
        <w:rPr>
          <w:rFonts w:hint="eastAsia" w:ascii="仿宋_GB2312" w:hAnsi="仿宋_GB2312" w:eastAsia="仿宋_GB2312" w:cs="仿宋_GB2312"/>
          <w:b w:val="0"/>
          <w:bCs/>
          <w:sz w:val="32"/>
          <w:szCs w:val="32"/>
        </w:rPr>
        <w:t>，其中一般债券利息</w:t>
      </w:r>
      <w:r>
        <w:rPr>
          <w:rFonts w:hint="eastAsia" w:ascii="仿宋_GB2312" w:hAnsi="仿宋_GB2312" w:eastAsia="仿宋_GB2312" w:cs="仿宋_GB2312"/>
          <w:b w:val="0"/>
          <w:bCs/>
          <w:sz w:val="32"/>
          <w:szCs w:val="32"/>
          <w:lang w:val="en-US" w:eastAsia="zh-CN"/>
        </w:rPr>
        <w:t>1.04亿元</w:t>
      </w:r>
      <w:r>
        <w:rPr>
          <w:rFonts w:hint="eastAsia" w:ascii="仿宋_GB2312" w:hAnsi="仿宋_GB2312" w:eastAsia="仿宋_GB2312" w:cs="仿宋_GB2312"/>
          <w:b w:val="0"/>
          <w:bCs/>
          <w:sz w:val="32"/>
          <w:szCs w:val="32"/>
        </w:rPr>
        <w:t>，专项债券利息</w:t>
      </w:r>
      <w:r>
        <w:rPr>
          <w:rFonts w:hint="eastAsia" w:ascii="仿宋_GB2312" w:hAnsi="仿宋_GB2312" w:eastAsia="仿宋_GB2312" w:cs="仿宋_GB2312"/>
          <w:b w:val="0"/>
          <w:bCs/>
          <w:sz w:val="32"/>
          <w:szCs w:val="32"/>
          <w:lang w:val="en-US" w:eastAsia="zh-CN"/>
        </w:rPr>
        <w:t>1.01亿元</w:t>
      </w:r>
      <w:r>
        <w:rPr>
          <w:rFonts w:hint="eastAsia" w:ascii="仿宋_GB2312" w:hAnsi="仿宋_GB2312" w:eastAsia="仿宋_GB2312" w:cs="仿宋_GB2312"/>
          <w:b w:val="0"/>
          <w:bCs/>
          <w:sz w:val="32"/>
          <w:szCs w:val="32"/>
        </w:rPr>
        <w:t>。</w:t>
      </w:r>
    </w:p>
    <w:p>
      <w:pPr>
        <w:spacing w:line="580" w:lineRule="exact"/>
        <w:ind w:firstLine="640" w:firstLineChars="200"/>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2024年应偿还地方政府债券本金7.4亿元，其中一般债券5.41亿元，专项债务1.99亿元；应支付地方政府债券利息2.54亿元，其中一般债券利息1.06亿元，专项债券利息1.48亿元。</w:t>
      </w:r>
    </w:p>
    <w:p>
      <w:pPr>
        <w:spacing w:line="580" w:lineRule="exact"/>
        <w:rPr>
          <w:rFonts w:hint="eastAsia" w:ascii="仿宋" w:hAnsi="仿宋" w:eastAsia="仿宋" w:cs="仿宋"/>
          <w:b w:val="0"/>
          <w:bCs/>
          <w:color w:val="000000" w:themeColor="text1"/>
          <w:sz w:val="30"/>
          <w:szCs w:val="30"/>
          <w:lang w:eastAsia="zh-CN"/>
          <w14:textFill>
            <w14:solidFill>
              <w14:schemeClr w14:val="tx1"/>
            </w14:solidFill>
          </w14:textFill>
        </w:rPr>
      </w:pPr>
    </w:p>
    <w:p>
      <w:pPr>
        <w:spacing w:line="580" w:lineRule="exact"/>
        <w:rPr>
          <w:rFonts w:hint="eastAsia" w:ascii="仿宋" w:hAnsi="仿宋" w:eastAsia="仿宋" w:cs="仿宋"/>
          <w:b w:val="0"/>
          <w:bCs/>
          <w:color w:val="000000" w:themeColor="text1"/>
          <w:sz w:val="30"/>
          <w:szCs w:val="30"/>
          <w:lang w:eastAsia="zh-CN"/>
          <w14:textFill>
            <w14:solidFill>
              <w14:schemeClr w14:val="tx1"/>
            </w14:solidFill>
          </w14:textFill>
        </w:rPr>
      </w:pPr>
      <w:r>
        <w:rPr>
          <w:rFonts w:hint="eastAsia" w:ascii="仿宋" w:hAnsi="仿宋" w:eastAsia="仿宋" w:cs="仿宋"/>
          <w:b w:val="0"/>
          <w:bCs/>
          <w:color w:val="000000" w:themeColor="text1"/>
          <w:sz w:val="30"/>
          <w:szCs w:val="30"/>
          <w:lang w:eastAsia="zh-CN"/>
          <w14:textFill>
            <w14:solidFill>
              <w14:schemeClr w14:val="tx1"/>
            </w14:solidFill>
          </w14:textFill>
        </w:rPr>
        <w:t>三、“三公”经费情况</w:t>
      </w:r>
    </w:p>
    <w:p>
      <w:pPr>
        <w:widowControl/>
        <w:shd w:val="clear" w:color="auto" w:fill="FFFFFF"/>
        <w:spacing w:before="100" w:beforeAutospacing="1" w:after="100" w:afterAutospacing="1" w:line="376" w:lineRule="atLeast"/>
        <w:ind w:firstLine="600" w:firstLineChars="200"/>
        <w:jc w:val="left"/>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pPr>
      <w:r>
        <w:rPr>
          <w:rFonts w:hint="eastAsia" w:ascii="仿宋" w:hAnsi="仿宋" w:eastAsia="仿宋" w:cs="仿宋"/>
          <w:b w:val="0"/>
          <w:bCs/>
          <w:color w:val="000000" w:themeColor="text1"/>
          <w:sz w:val="30"/>
          <w:szCs w:val="30"/>
          <w:shd w:val="clear" w:color="auto" w:fill="auto"/>
          <w14:textFill>
            <w14:solidFill>
              <w14:schemeClr w14:val="tx1"/>
            </w14:solidFill>
          </w14:textFill>
        </w:rPr>
        <w:t>市本级部门，包括市级行政单位（含参照公务员法管理的事业单位）、事业单位和其他单位使用当年一般公共预算拨款安排的202</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4</w:t>
      </w:r>
      <w:r>
        <w:rPr>
          <w:rFonts w:hint="eastAsia" w:ascii="仿宋" w:hAnsi="仿宋" w:eastAsia="仿宋" w:cs="仿宋"/>
          <w:b w:val="0"/>
          <w:bCs/>
          <w:color w:val="000000" w:themeColor="text1"/>
          <w:sz w:val="30"/>
          <w:szCs w:val="30"/>
          <w:shd w:val="clear" w:color="auto" w:fill="auto"/>
          <w14:textFill>
            <w14:solidFill>
              <w14:schemeClr w14:val="tx1"/>
            </w14:solidFill>
          </w14:textFill>
        </w:rPr>
        <w:t>年“三公经费”</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汇总数</w:t>
      </w:r>
      <w:r>
        <w:rPr>
          <w:rFonts w:hint="eastAsia" w:ascii="仿宋" w:hAnsi="仿宋" w:eastAsia="仿宋" w:cs="仿宋"/>
          <w:b w:val="0"/>
          <w:bCs/>
          <w:color w:val="000000" w:themeColor="text1"/>
          <w:sz w:val="30"/>
          <w:szCs w:val="30"/>
          <w:shd w:val="clear" w:color="auto" w:fill="auto"/>
          <w14:textFill>
            <w14:solidFill>
              <w14:schemeClr w14:val="tx1"/>
            </w14:solidFill>
          </w14:textFill>
        </w:rPr>
        <w:t>为</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1643.96</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万元，其中：因公出国（境）费</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21</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比上年增加</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21万元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w:t>
      </w:r>
      <w:r>
        <w:rPr>
          <w:rFonts w:hint="eastAsia" w:ascii="仿宋" w:hAnsi="仿宋" w:eastAsia="仿宋" w:cs="仿宋"/>
          <w:color w:val="000000" w:themeColor="text1"/>
          <w:sz w:val="30"/>
          <w:szCs w:val="30"/>
          <w:lang w:val="en-US" w:eastAsia="zh-CN"/>
          <w14:textFill>
            <w14:solidFill>
              <w14:schemeClr w14:val="tx1"/>
            </w14:solidFill>
          </w14:textFill>
        </w:rPr>
        <w:t>增长 100 %,增长原因是</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根据本市对外招商引资开展经贸活动情况实际，本年度安排了因公出国出境经费</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21万元。</w:t>
      </w:r>
      <w:r>
        <w:rPr>
          <w:rFonts w:hint="eastAsia" w:ascii="仿宋" w:hAnsi="仿宋" w:eastAsia="仿宋" w:cs="仿宋"/>
          <w:b w:val="0"/>
          <w:bCs/>
          <w:color w:val="000000" w:themeColor="text1"/>
          <w:sz w:val="30"/>
          <w:szCs w:val="30"/>
          <w:shd w:val="clear" w:color="auto" w:fill="auto"/>
          <w14:textFill>
            <w14:solidFill>
              <w14:schemeClr w14:val="tx1"/>
            </w14:solidFill>
          </w14:textFill>
        </w:rPr>
        <w:t xml:space="preserve">公务接待费 </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444.96</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万元，较上年</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减少</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96.31</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降低</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 xml:space="preserve"> 18%</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0"/>
          <w:szCs w:val="30"/>
          <w:shd w:val="clear" w:color="auto" w:fill="auto"/>
          <w14:textFill>
            <w14:solidFill>
              <w14:schemeClr w14:val="tx1"/>
            </w14:solidFill>
          </w14:textFill>
        </w:rPr>
        <w:t>公务用车购置及运行</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费</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1178</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,较上年减少22万元，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降低</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2% ，其中：</w:t>
      </w:r>
      <w:r>
        <w:rPr>
          <w:rFonts w:hint="eastAsia" w:ascii="仿宋" w:hAnsi="仿宋" w:eastAsia="仿宋" w:cs="仿宋"/>
          <w:b w:val="0"/>
          <w:bCs/>
          <w:color w:val="000000" w:themeColor="text1"/>
          <w:sz w:val="30"/>
          <w:szCs w:val="30"/>
          <w:shd w:val="clear" w:color="auto" w:fill="auto"/>
          <w14:textFill>
            <w14:solidFill>
              <w14:schemeClr w14:val="tx1"/>
            </w14:solidFill>
          </w14:textFill>
        </w:rPr>
        <w:t>202</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4</w:t>
      </w:r>
      <w:r>
        <w:rPr>
          <w:rFonts w:hint="eastAsia" w:ascii="仿宋" w:hAnsi="仿宋" w:eastAsia="仿宋" w:cs="仿宋"/>
          <w:b w:val="0"/>
          <w:bCs/>
          <w:color w:val="000000" w:themeColor="text1"/>
          <w:sz w:val="30"/>
          <w:szCs w:val="30"/>
          <w:shd w:val="clear" w:color="auto" w:fill="auto"/>
          <w14:textFill>
            <w14:solidFill>
              <w14:schemeClr w14:val="tx1"/>
            </w14:solidFill>
          </w14:textFill>
        </w:rPr>
        <w:t xml:space="preserve">年公务用车购置费预算 </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260</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万元比上年</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增加</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8</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增长</w:t>
      </w:r>
      <w:bookmarkStart w:id="0" w:name="_GoBack"/>
      <w:bookmarkEnd w:id="0"/>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 xml:space="preserve"> 3 %</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0"/>
          <w:szCs w:val="30"/>
          <w:shd w:val="clear" w:color="auto" w:fill="auto"/>
          <w14:textFill>
            <w14:solidFill>
              <w14:schemeClr w14:val="tx1"/>
            </w14:solidFill>
          </w14:textFill>
        </w:rPr>
        <w:t>公务用车</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运行</w:t>
      </w:r>
      <w:r>
        <w:rPr>
          <w:rFonts w:hint="eastAsia" w:ascii="仿宋" w:hAnsi="仿宋" w:eastAsia="仿宋" w:cs="仿宋"/>
          <w:b w:val="0"/>
          <w:bCs/>
          <w:color w:val="000000" w:themeColor="text1"/>
          <w:sz w:val="30"/>
          <w:szCs w:val="30"/>
          <w:shd w:val="clear" w:color="auto" w:fill="auto"/>
          <w14:textFill>
            <w14:solidFill>
              <w14:schemeClr w14:val="tx1"/>
            </w14:solidFill>
          </w14:textFill>
        </w:rPr>
        <w:t xml:space="preserve"> </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费</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918</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万元，比上年</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减少</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30</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，降低</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 xml:space="preserve"> 3 %</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w:t>
      </w:r>
      <w:r>
        <w:rPr>
          <w:rFonts w:hint="eastAsia" w:ascii="仿宋" w:hAnsi="仿宋" w:eastAsia="仿宋" w:cs="仿宋"/>
          <w:b w:val="0"/>
          <w:bCs/>
          <w:color w:val="000000" w:themeColor="text1"/>
          <w:sz w:val="30"/>
          <w:szCs w:val="30"/>
          <w:shd w:val="clear" w:color="auto" w:fill="auto"/>
          <w14:textFill>
            <w14:solidFill>
              <w14:schemeClr w14:val="tx1"/>
            </w14:solidFill>
          </w14:textFill>
        </w:rPr>
        <w:t>202</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4</w:t>
      </w:r>
      <w:r>
        <w:rPr>
          <w:rFonts w:hint="eastAsia" w:ascii="仿宋" w:hAnsi="仿宋" w:eastAsia="仿宋" w:cs="仿宋"/>
          <w:b w:val="0"/>
          <w:bCs/>
          <w:color w:val="000000" w:themeColor="text1"/>
          <w:sz w:val="30"/>
          <w:szCs w:val="30"/>
          <w:shd w:val="clear" w:color="auto" w:fill="auto"/>
          <w14:textFill>
            <w14:solidFill>
              <w14:schemeClr w14:val="tx1"/>
            </w14:solidFill>
          </w14:textFill>
        </w:rPr>
        <w:t>年市级“三公经费”预算汇总数较上年</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减少</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97.31</w:t>
      </w:r>
      <w:r>
        <w:rPr>
          <w:rFonts w:hint="eastAsia" w:ascii="仿宋" w:hAnsi="仿宋" w:eastAsia="仿宋" w:cs="仿宋"/>
          <w:b w:val="0"/>
          <w:bCs/>
          <w:color w:val="000000" w:themeColor="text1"/>
          <w:sz w:val="30"/>
          <w:szCs w:val="30"/>
          <w:shd w:val="clear" w:color="auto" w:fill="auto"/>
          <w14:textFill>
            <w14:solidFill>
              <w14:schemeClr w14:val="tx1"/>
            </w14:solidFill>
          </w14:textFill>
        </w:rPr>
        <w:t>万元，</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降低</w:t>
      </w:r>
      <w:r>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t>5</w:t>
      </w:r>
      <w:r>
        <w:rPr>
          <w:rFonts w:hint="eastAsia" w:ascii="仿宋" w:hAnsi="仿宋" w:eastAsia="仿宋" w:cs="仿宋"/>
          <w:b w:val="0"/>
          <w:bCs/>
          <w:color w:val="000000" w:themeColor="text1"/>
          <w:sz w:val="30"/>
          <w:szCs w:val="30"/>
          <w:shd w:val="clear" w:color="auto" w:fill="auto"/>
          <w14:textFill>
            <w14:solidFill>
              <w14:schemeClr w14:val="tx1"/>
            </w14:solidFill>
          </w14:textFill>
        </w:rPr>
        <w:t>%</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，下降原因是厉行节约压缩开支严控“三公经费”。</w:t>
      </w:r>
    </w:p>
    <w:p>
      <w:pPr>
        <w:widowControl/>
        <w:shd w:val="clear" w:color="auto" w:fill="FFFFFF"/>
        <w:spacing w:before="100" w:beforeAutospacing="1" w:after="100" w:afterAutospacing="1" w:line="376" w:lineRule="atLeas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 xml:space="preserve"> 202</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w:t>
      </w:r>
      <w:r>
        <w:rPr>
          <w:rFonts w:hint="eastAsia" w:ascii="仿宋_GB2312" w:hAnsi="宋体" w:eastAsia="仿宋_GB2312" w:cs="宋体"/>
          <w:color w:val="000000" w:themeColor="text1"/>
          <w:kern w:val="0"/>
          <w:sz w:val="32"/>
          <w:szCs w:val="32"/>
          <w14:textFill>
            <w14:solidFill>
              <w14:schemeClr w14:val="tx1"/>
            </w14:solidFill>
          </w14:textFill>
        </w:rPr>
        <w:t>“三公”经费总量做到了只减不增，</w:t>
      </w:r>
      <w:r>
        <w:rPr>
          <w:rFonts w:hint="eastAsia" w:ascii="仿宋" w:hAnsi="仿宋" w:eastAsia="仿宋" w:cs="仿宋"/>
          <w:b w:val="0"/>
          <w:bCs/>
          <w:color w:val="000000" w:themeColor="text1"/>
          <w:sz w:val="30"/>
          <w:szCs w:val="30"/>
          <w:shd w:val="clear" w:color="auto" w:fill="auto"/>
          <w:lang w:eastAsia="zh-CN"/>
          <w14:textFill>
            <w14:solidFill>
              <w14:schemeClr w14:val="tx1"/>
            </w14:solidFill>
          </w14:textFill>
        </w:rPr>
        <w:t>下降原因是厉行节约压缩开支严控“三公经费”。</w:t>
      </w:r>
    </w:p>
    <w:p>
      <w:pPr>
        <w:spacing w:line="580" w:lineRule="exact"/>
        <w:ind w:firstLine="600" w:firstLineChars="200"/>
        <w:rPr>
          <w:rFonts w:hint="eastAsia" w:ascii="仿宋" w:hAnsi="仿宋" w:eastAsia="仿宋" w:cs="仿宋"/>
          <w:b w:val="0"/>
          <w:bCs/>
          <w:color w:val="000000" w:themeColor="text1"/>
          <w:sz w:val="30"/>
          <w:szCs w:val="30"/>
          <w:shd w:val="clear" w:color="auto" w:fill="auto"/>
          <w:lang w:val="en-US" w:eastAsia="zh-CN"/>
          <w14:textFill>
            <w14:solidFill>
              <w14:schemeClr w14:val="tx1"/>
            </w14:solidFill>
          </w14:textFill>
        </w:rPr>
      </w:pPr>
    </w:p>
    <w:p>
      <w:pPr>
        <w:spacing w:line="580" w:lineRule="exact"/>
        <w:rPr>
          <w:rFonts w:hint="eastAsia" w:ascii="仿宋" w:hAnsi="仿宋" w:eastAsia="仿宋" w:cs="仿宋"/>
          <w:b w:val="0"/>
          <w:bCs/>
          <w:color w:val="000000" w:themeColor="text1"/>
          <w:sz w:val="30"/>
          <w:szCs w:val="30"/>
          <w14:textFill>
            <w14:solidFill>
              <w14:schemeClr w14:val="tx1"/>
            </w14:solidFill>
          </w14:textFill>
        </w:rPr>
      </w:pPr>
      <w:r>
        <w:rPr>
          <w:rFonts w:hint="eastAsia" w:ascii="仿宋" w:hAnsi="仿宋" w:eastAsia="仿宋" w:cs="仿宋"/>
          <w:b w:val="0"/>
          <w:bCs/>
          <w:color w:val="000000" w:themeColor="text1"/>
          <w:sz w:val="30"/>
          <w:szCs w:val="30"/>
          <w:lang w:eastAsia="zh-CN"/>
          <w14:textFill>
            <w14:solidFill>
              <w14:schemeClr w14:val="tx1"/>
            </w14:solidFill>
          </w14:textFill>
        </w:rPr>
        <w:t>四</w:t>
      </w:r>
      <w:r>
        <w:rPr>
          <w:rFonts w:hint="eastAsia" w:ascii="仿宋" w:hAnsi="仿宋" w:eastAsia="仿宋" w:cs="仿宋"/>
          <w:b w:val="0"/>
          <w:bCs/>
          <w:color w:val="000000" w:themeColor="text1"/>
          <w:sz w:val="30"/>
          <w:szCs w:val="30"/>
          <w14:textFill>
            <w14:solidFill>
              <w14:schemeClr w14:val="tx1"/>
            </w14:solidFill>
          </w14:textFill>
        </w:rPr>
        <w:t>、预算绩效管理工作开展情况</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一、预算绩效管理工作开展情况</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按照“统一领导、分级管理；积极试点，稳步推进；程序规范，重点突出；客观公正，公开透明”的原则宣传绩效理念，培育绩效文化。基本构建起“预算编制有目标、预算执行有监控、预算完成有评价、评价结果有反馈、反馈结果有应用”的预算绩效管理机制和覆盖预算管理事前、事中、事后全过程的预算绩效管理体系，有效促进了财政资金使用绩效的提高。</w:t>
      </w:r>
    </w:p>
    <w:p>
      <w:pPr>
        <w:ind w:firstLine="600" w:firstLineChars="200"/>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（一）做优事前目标评价,将预算项目绩效目标事前评价与预算编制紧密结合。一方面，在202</w:t>
      </w:r>
      <w:r>
        <w:rPr>
          <w:rFonts w:hint="eastAsia" w:ascii="仿宋" w:hAnsi="仿宋" w:eastAsia="仿宋" w:cs="仿宋"/>
          <w:b w:val="0"/>
          <w:bCs w:val="0"/>
          <w:color w:val="000000" w:themeColor="text1"/>
          <w:sz w:val="30"/>
          <w:szCs w:val="30"/>
          <w:lang w:val="en-US" w:eastAsia="zh-CN"/>
          <w14:textFill>
            <w14:solidFill>
              <w14:schemeClr w14:val="tx1"/>
            </w14:solidFill>
          </w14:textFill>
        </w:rPr>
        <w:t>4</w:t>
      </w:r>
      <w:r>
        <w:rPr>
          <w:rFonts w:hint="eastAsia" w:ascii="仿宋" w:hAnsi="仿宋" w:eastAsia="仿宋" w:cs="仿宋"/>
          <w:b w:val="0"/>
          <w:bCs w:val="0"/>
          <w:color w:val="000000" w:themeColor="text1"/>
          <w:sz w:val="30"/>
          <w:szCs w:val="30"/>
          <w14:textFill>
            <w14:solidFill>
              <w14:schemeClr w14:val="tx1"/>
            </w14:solidFill>
          </w14:textFill>
        </w:rPr>
        <w:t>度预算编制过程中，我市所有预算部门都实现了预算绩效目标与部门预算同步申报、同步审核、同步批复，并要求单位在预算一体化系统申报项目库的同时，编制预算绩效目标，努力使预算绩效管理渗透到所有项目资金，通过设定便于衡量、分析、比较和评价的靶向目标，将绩效目标的个性指标细化量化，确保项目建设严格按既定绩效目标运行。另一方面，持续探索推进事前绩效评估工作，联</w:t>
      </w:r>
      <w:r>
        <w:rPr>
          <w:rFonts w:hint="eastAsia" w:ascii="仿宋" w:hAnsi="仿宋" w:eastAsia="仿宋" w:cs="仿宋"/>
          <w:b w:val="0"/>
          <w:bCs w:val="0"/>
          <w:color w:val="000000" w:themeColor="text1"/>
          <w:sz w:val="30"/>
          <w:szCs w:val="30"/>
          <w:lang w:eastAsia="zh-CN"/>
          <w14:textFill>
            <w14:solidFill>
              <w14:schemeClr w14:val="tx1"/>
            </w14:solidFill>
          </w14:textFill>
        </w:rPr>
        <w:t>合</w:t>
      </w:r>
      <w:r>
        <w:rPr>
          <w:rFonts w:hint="eastAsia" w:ascii="仿宋" w:hAnsi="仿宋" w:eastAsia="仿宋" w:cs="仿宋"/>
          <w:b w:val="0"/>
          <w:bCs w:val="0"/>
          <w:color w:val="000000" w:themeColor="text1"/>
          <w:sz w:val="30"/>
          <w:szCs w:val="30"/>
          <w14:textFill>
            <w14:solidFill>
              <w14:schemeClr w14:val="tx1"/>
            </w14:solidFill>
          </w14:textFill>
        </w:rPr>
        <w:t>财政投资评审中心开展事前绩效评估，将绩效结果与绩效应用挂钩，从立项必要性、投入经济性，绩效目标合理性，实施方案有效性，筹资合规性五个方面开展事前绩效评估工作</w:t>
      </w:r>
      <w:r>
        <w:rPr>
          <w:rFonts w:hint="eastAsia" w:ascii="仿宋" w:hAnsi="仿宋" w:eastAsia="仿宋" w:cs="仿宋"/>
          <w:b w:val="0"/>
          <w:bCs w:val="0"/>
          <w:color w:val="000000" w:themeColor="text1"/>
          <w:sz w:val="30"/>
          <w:szCs w:val="30"/>
          <w:lang w:eastAsia="zh-CN"/>
          <w14:textFill>
            <w14:solidFill>
              <w14:schemeClr w14:val="tx1"/>
            </w14:solidFill>
          </w14:textFill>
        </w:rPr>
        <w:t>。</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（二）做细事中预算绩效监控。将年度预算绩效目标执行情况跟踪监控与预算项目调整紧密结合。202</w:t>
      </w:r>
      <w:r>
        <w:rPr>
          <w:rFonts w:hint="eastAsia" w:ascii="仿宋" w:hAnsi="仿宋" w:eastAsia="仿宋" w:cs="仿宋"/>
          <w:b w:val="0"/>
          <w:bCs w:val="0"/>
          <w:color w:val="000000" w:themeColor="text1"/>
          <w:sz w:val="30"/>
          <w:szCs w:val="30"/>
          <w:lang w:val="en-US" w:eastAsia="zh-CN"/>
          <w14:textFill>
            <w14:solidFill>
              <w14:schemeClr w14:val="tx1"/>
            </w14:solidFill>
          </w14:textFill>
        </w:rPr>
        <w:t>3</w:t>
      </w:r>
      <w:r>
        <w:rPr>
          <w:rFonts w:hint="eastAsia" w:ascii="仿宋" w:hAnsi="仿宋" w:eastAsia="仿宋" w:cs="仿宋"/>
          <w:b w:val="0"/>
          <w:bCs w:val="0"/>
          <w:color w:val="000000" w:themeColor="text1"/>
          <w:sz w:val="30"/>
          <w:szCs w:val="30"/>
          <w14:textFill>
            <w14:solidFill>
              <w14:schemeClr w14:val="tx1"/>
            </w14:solidFill>
          </w14:textFill>
        </w:rPr>
        <w:t>年，在下达预算资金指标时同步下达部门预算绩效目标，实时动态监控。定期跟踪和监控绩效信息，重点监控扶贫资金、债券资金以及直达资金。以预算批复时确定的预算绩效目标为基准，要求单位报送预算绩效监控情况表，绩效股牵头业务股室组织审核，对偏离绩效目标原因进行分析，并提出处理意见。通过事中绩效监控对财政支出监控，从而不断完善了项目管理，进一步落实了支出责任，加快预算执行进度，更好地实现绩效目标。</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（三）做好事后绩效评价。将绩效自评与第三方机构评价紧密结合，积极开展绩效自评。202</w:t>
      </w:r>
      <w:r>
        <w:rPr>
          <w:rFonts w:hint="eastAsia" w:ascii="仿宋" w:hAnsi="仿宋" w:eastAsia="仿宋" w:cs="仿宋"/>
          <w:b w:val="0"/>
          <w:bCs w:val="0"/>
          <w:color w:val="000000" w:themeColor="text1"/>
          <w:sz w:val="30"/>
          <w:szCs w:val="30"/>
          <w:lang w:val="en-US" w:eastAsia="zh-CN"/>
          <w14:textFill>
            <w14:solidFill>
              <w14:schemeClr w14:val="tx1"/>
            </w14:solidFill>
          </w14:textFill>
        </w:rPr>
        <w:t>3</w:t>
      </w:r>
      <w:r>
        <w:rPr>
          <w:rFonts w:hint="eastAsia" w:ascii="仿宋" w:hAnsi="仿宋" w:eastAsia="仿宋" w:cs="仿宋"/>
          <w:b w:val="0"/>
          <w:bCs w:val="0"/>
          <w:color w:val="000000" w:themeColor="text1"/>
          <w:sz w:val="30"/>
          <w:szCs w:val="30"/>
          <w14:textFill>
            <w14:solidFill>
              <w14:schemeClr w14:val="tx1"/>
            </w14:solidFill>
          </w14:textFill>
        </w:rPr>
        <w:t>年我市成立由部门预算管理股和第三方机构组成的绩效复评工作组，组织各部门预算管理股室和第三方机构对202</w:t>
      </w:r>
      <w:r>
        <w:rPr>
          <w:rFonts w:hint="eastAsia" w:ascii="仿宋" w:hAnsi="仿宋" w:eastAsia="仿宋" w:cs="仿宋"/>
          <w:b w:val="0"/>
          <w:bCs w:val="0"/>
          <w:color w:val="000000" w:themeColor="text1"/>
          <w:sz w:val="30"/>
          <w:szCs w:val="30"/>
          <w:lang w:val="en-US" w:eastAsia="zh-CN"/>
          <w14:textFill>
            <w14:solidFill>
              <w14:schemeClr w14:val="tx1"/>
            </w14:solidFill>
          </w14:textFill>
        </w:rPr>
        <w:t>2</w:t>
      </w:r>
      <w:r>
        <w:rPr>
          <w:rFonts w:hint="eastAsia" w:ascii="仿宋" w:hAnsi="仿宋" w:eastAsia="仿宋" w:cs="仿宋"/>
          <w:b w:val="0"/>
          <w:bCs w:val="0"/>
          <w:color w:val="000000" w:themeColor="text1"/>
          <w:sz w:val="30"/>
          <w:szCs w:val="30"/>
          <w14:textFill>
            <w14:solidFill>
              <w14:schemeClr w14:val="tx1"/>
            </w14:solidFill>
          </w14:textFill>
        </w:rPr>
        <w:t>年各单位的项目支出绩效自评和整体支出绩效自评进行复评，并将复评结果通报各单位，将评价结果作为下一年度安排预算的重要依据，将评价结果不好的项目予以取消或做相应的削减，切实发挥绩效评价结果的应用作用。</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四）强化结果应用。将上年预算绩效事后评价结果与下年部门预算编制紧密结合，结果应用是发挥绩效管理效能的关键，按照“谁主管，谁使用，谁负责”的原则，深化预算单位的绩效责任主体意识，及时反馈评价结果，并跟踪整改落实情况，完善评价结果与预算安排的有效衔接机制，将绩效评价结果作为下年度编制预算和安排财政资金的重要参考依据，并有针对性的核减或取消项目预算，切实发挥绩效评价结果的应用作用。</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五）推进绩效信息公开度。我市在预决算公开的同时，各预算单位按要求将审核合格后的绩效目标申报表与预算同步、同网站公开，市一级预算部门整体支出绩效目标公开率达到100%，专项（项目）绩效目标公开率达到了100%。并将单位自评报告和部分重点支出绩效评价报告，在政府门户网站公开。</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eastAsia="zh-CN"/>
          <w14:textFill>
            <w14:solidFill>
              <w14:schemeClr w14:val="tx1"/>
            </w14:solidFill>
          </w14:textFill>
        </w:rPr>
        <w:t>三、</w:t>
      </w:r>
      <w:r>
        <w:rPr>
          <w:rFonts w:hint="eastAsia" w:ascii="仿宋" w:hAnsi="仿宋" w:eastAsia="仿宋" w:cs="仿宋"/>
          <w:b w:val="0"/>
          <w:bCs w:val="0"/>
          <w:color w:val="000000" w:themeColor="text1"/>
          <w:sz w:val="30"/>
          <w:szCs w:val="30"/>
          <w14:textFill>
            <w14:solidFill>
              <w14:schemeClr w14:val="tx1"/>
            </w14:solidFill>
          </w14:textFill>
        </w:rPr>
        <w:t>下一步工作计划</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一）健全绩效评价制度体系。继续强化预算绩效管理意识，提高各单位对预算绩效管理工作重要性的认识。建立健全我县预算绩效管理制度机制，提高绩效评价结果运用水平，促进预算绩效管理工作更加规范有效。</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二）强化组织队伍建设。一是培养本土化的预算绩效管理专业人才队伍，通过“请进来，走出去”的方式加强对预算单位绩效管理知识与实操的培训，立足于解决实际问题，提高我市绩效管理人员的专业性。二是加快绩效管理人才库的建设。组建本地绩效管理专家库，从教育、水利、农业、卫生、民政等领域，抽取有经验的专业技术人才，参与我市预算绩效管理工作，充分发挥出不同领域、不同行业专家对预算绩效管理的支撑作用，强化专家库对全市预算绩效管理工作的智力支持。</w:t>
      </w:r>
    </w:p>
    <w:p>
      <w:pPr>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三）深入推进预算与绩效管理融合。加快预算一体化中预算绩效模块的建设，建立事前绩效评估、事中绩效监控、事后绩效评价的全过程、全方位、全覆盖信息化系统，完善我市绩效项目库、指标体系建设，通过信息系统获取绩效管理数据，加强预算绩效分析研判，为绩效管理工作提供技术支撑，以提高绩效评价结果的科学性，促进绩效信息公开共享。</w:t>
      </w:r>
    </w:p>
    <w:p>
      <w:pPr>
        <w:pStyle w:val="8"/>
        <w:spacing w:line="480" w:lineRule="atLeast"/>
        <w:ind w:firstLine="480"/>
        <w:rPr>
          <w:rFonts w:hint="eastAsia" w:ascii="仿宋" w:hAnsi="仿宋" w:eastAsia="仿宋" w:cs="仿宋"/>
          <w:b w:val="0"/>
          <w:bCs w:val="0"/>
          <w:color w:val="000000" w:themeColor="text1"/>
          <w:sz w:val="30"/>
          <w:szCs w:val="30"/>
          <w14:textFill>
            <w14:solidFill>
              <w14:schemeClr w14:val="tx1"/>
            </w14:solidFill>
          </w14:textFill>
        </w:rPr>
      </w:pPr>
    </w:p>
    <w:p>
      <w:pPr>
        <w:rPr>
          <w:rFonts w:hint="eastAsia" w:ascii="仿宋" w:hAnsi="仿宋" w:eastAsia="仿宋" w:cs="仿宋"/>
          <w:b w:val="0"/>
          <w:bCs w:val="0"/>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GU1NjhlYzE2YmJjYmI3NThiOWQ3ZDE0ODhkOTAifQ=="/>
    <w:docVar w:name="KSO_WPS_MARK_KEY" w:val="a783ee05-321d-4289-89e8-00a820590139"/>
  </w:docVars>
  <w:rsids>
    <w:rsidRoot w:val="00000000"/>
    <w:rsid w:val="011748E5"/>
    <w:rsid w:val="0126285F"/>
    <w:rsid w:val="013F0A4A"/>
    <w:rsid w:val="01711726"/>
    <w:rsid w:val="01A06AB7"/>
    <w:rsid w:val="02087C54"/>
    <w:rsid w:val="03D87DA2"/>
    <w:rsid w:val="041501E2"/>
    <w:rsid w:val="04E8211E"/>
    <w:rsid w:val="05571321"/>
    <w:rsid w:val="058A4850"/>
    <w:rsid w:val="05A22F24"/>
    <w:rsid w:val="064351F5"/>
    <w:rsid w:val="0732376D"/>
    <w:rsid w:val="08A32FCE"/>
    <w:rsid w:val="092D74E7"/>
    <w:rsid w:val="09BD742E"/>
    <w:rsid w:val="0A0712AC"/>
    <w:rsid w:val="0A180D0E"/>
    <w:rsid w:val="0AAC352A"/>
    <w:rsid w:val="0B3B5CBE"/>
    <w:rsid w:val="0BD065D0"/>
    <w:rsid w:val="0C0B71FC"/>
    <w:rsid w:val="0C307264"/>
    <w:rsid w:val="0C8D6407"/>
    <w:rsid w:val="0CCA3020"/>
    <w:rsid w:val="0D285A20"/>
    <w:rsid w:val="0D436628"/>
    <w:rsid w:val="0D547E5D"/>
    <w:rsid w:val="0D8867A6"/>
    <w:rsid w:val="0E20482A"/>
    <w:rsid w:val="0EB93457"/>
    <w:rsid w:val="0F7762E1"/>
    <w:rsid w:val="0FCE6E2A"/>
    <w:rsid w:val="0FFC17D4"/>
    <w:rsid w:val="101A1300"/>
    <w:rsid w:val="10805AC2"/>
    <w:rsid w:val="10C25702"/>
    <w:rsid w:val="114D654B"/>
    <w:rsid w:val="120A1803"/>
    <w:rsid w:val="126844B3"/>
    <w:rsid w:val="129E298D"/>
    <w:rsid w:val="13BB7C9E"/>
    <w:rsid w:val="13D12AA7"/>
    <w:rsid w:val="14BF3730"/>
    <w:rsid w:val="157F78BB"/>
    <w:rsid w:val="16997FD5"/>
    <w:rsid w:val="16C10E21"/>
    <w:rsid w:val="170C5CEE"/>
    <w:rsid w:val="1726346E"/>
    <w:rsid w:val="17874339"/>
    <w:rsid w:val="19510423"/>
    <w:rsid w:val="19995866"/>
    <w:rsid w:val="199B3531"/>
    <w:rsid w:val="19CE059A"/>
    <w:rsid w:val="19FD67E3"/>
    <w:rsid w:val="1A681C0A"/>
    <w:rsid w:val="1AA80041"/>
    <w:rsid w:val="1AEE6E95"/>
    <w:rsid w:val="1B217CB2"/>
    <w:rsid w:val="1B2A4519"/>
    <w:rsid w:val="1C375058"/>
    <w:rsid w:val="1D923251"/>
    <w:rsid w:val="1DFF509A"/>
    <w:rsid w:val="1E2A330C"/>
    <w:rsid w:val="1E626D64"/>
    <w:rsid w:val="1EE76529"/>
    <w:rsid w:val="1F12769C"/>
    <w:rsid w:val="1F461092"/>
    <w:rsid w:val="1FCB1131"/>
    <w:rsid w:val="21390CBA"/>
    <w:rsid w:val="22742C5F"/>
    <w:rsid w:val="23F20A97"/>
    <w:rsid w:val="24972D3F"/>
    <w:rsid w:val="24DA2601"/>
    <w:rsid w:val="25072827"/>
    <w:rsid w:val="2526581A"/>
    <w:rsid w:val="27346B96"/>
    <w:rsid w:val="27743588"/>
    <w:rsid w:val="286D0833"/>
    <w:rsid w:val="28833B59"/>
    <w:rsid w:val="28D365FF"/>
    <w:rsid w:val="29337417"/>
    <w:rsid w:val="297D09A1"/>
    <w:rsid w:val="29CC78C3"/>
    <w:rsid w:val="2C7A3448"/>
    <w:rsid w:val="2D211B3B"/>
    <w:rsid w:val="2DB9081B"/>
    <w:rsid w:val="2E85670D"/>
    <w:rsid w:val="2E8D4C56"/>
    <w:rsid w:val="2EB36A2E"/>
    <w:rsid w:val="2ED254C6"/>
    <w:rsid w:val="2EF83D43"/>
    <w:rsid w:val="2FB71881"/>
    <w:rsid w:val="30724DD6"/>
    <w:rsid w:val="31B33165"/>
    <w:rsid w:val="32066B8C"/>
    <w:rsid w:val="331A7FAD"/>
    <w:rsid w:val="33E50543"/>
    <w:rsid w:val="34A07617"/>
    <w:rsid w:val="36384C98"/>
    <w:rsid w:val="37CC6A5E"/>
    <w:rsid w:val="39797D93"/>
    <w:rsid w:val="39FE1617"/>
    <w:rsid w:val="3A30302C"/>
    <w:rsid w:val="3B9308FD"/>
    <w:rsid w:val="3BF33A92"/>
    <w:rsid w:val="3C695348"/>
    <w:rsid w:val="3CB63353"/>
    <w:rsid w:val="3D205459"/>
    <w:rsid w:val="3D3C2FA4"/>
    <w:rsid w:val="3E353848"/>
    <w:rsid w:val="3E49293D"/>
    <w:rsid w:val="3EDD056A"/>
    <w:rsid w:val="403D352D"/>
    <w:rsid w:val="408B405C"/>
    <w:rsid w:val="417E18D6"/>
    <w:rsid w:val="41AE3B75"/>
    <w:rsid w:val="42942AE1"/>
    <w:rsid w:val="42D31F27"/>
    <w:rsid w:val="432B41F4"/>
    <w:rsid w:val="438D5DDF"/>
    <w:rsid w:val="43FF1D0C"/>
    <w:rsid w:val="443B324C"/>
    <w:rsid w:val="44C1296C"/>
    <w:rsid w:val="45147C83"/>
    <w:rsid w:val="452847AC"/>
    <w:rsid w:val="45827DD9"/>
    <w:rsid w:val="46207231"/>
    <w:rsid w:val="46575EE1"/>
    <w:rsid w:val="47134101"/>
    <w:rsid w:val="49027AB5"/>
    <w:rsid w:val="49B24515"/>
    <w:rsid w:val="4A8627AC"/>
    <w:rsid w:val="4A96196F"/>
    <w:rsid w:val="4A9B5A20"/>
    <w:rsid w:val="4AFB3F1E"/>
    <w:rsid w:val="4C3A735D"/>
    <w:rsid w:val="4D1F087B"/>
    <w:rsid w:val="4F026955"/>
    <w:rsid w:val="4F610FE6"/>
    <w:rsid w:val="4FC0559D"/>
    <w:rsid w:val="50B810F3"/>
    <w:rsid w:val="511E675F"/>
    <w:rsid w:val="51250478"/>
    <w:rsid w:val="512B194A"/>
    <w:rsid w:val="52FC5287"/>
    <w:rsid w:val="534B3109"/>
    <w:rsid w:val="535A41AC"/>
    <w:rsid w:val="536D0079"/>
    <w:rsid w:val="5426635A"/>
    <w:rsid w:val="546E405A"/>
    <w:rsid w:val="5501717E"/>
    <w:rsid w:val="553A4EB6"/>
    <w:rsid w:val="55AE268C"/>
    <w:rsid w:val="55F44855"/>
    <w:rsid w:val="56D557F9"/>
    <w:rsid w:val="57786125"/>
    <w:rsid w:val="579A66C8"/>
    <w:rsid w:val="58B01CDE"/>
    <w:rsid w:val="59F370B1"/>
    <w:rsid w:val="5A5E54DF"/>
    <w:rsid w:val="5A715E56"/>
    <w:rsid w:val="5AEC1D7C"/>
    <w:rsid w:val="5BA3624F"/>
    <w:rsid w:val="5BE2525D"/>
    <w:rsid w:val="5C1A40E5"/>
    <w:rsid w:val="5C5526AC"/>
    <w:rsid w:val="5C5B75F7"/>
    <w:rsid w:val="5C6A1AC9"/>
    <w:rsid w:val="5CCC6146"/>
    <w:rsid w:val="5D883C49"/>
    <w:rsid w:val="5E4B79BB"/>
    <w:rsid w:val="5E98540A"/>
    <w:rsid w:val="602C7B18"/>
    <w:rsid w:val="60934B38"/>
    <w:rsid w:val="60B1516B"/>
    <w:rsid w:val="617E5A72"/>
    <w:rsid w:val="624C393A"/>
    <w:rsid w:val="62C23709"/>
    <w:rsid w:val="639071EC"/>
    <w:rsid w:val="63C60D22"/>
    <w:rsid w:val="64591E34"/>
    <w:rsid w:val="67A75623"/>
    <w:rsid w:val="67AD05BB"/>
    <w:rsid w:val="67C80950"/>
    <w:rsid w:val="68075EBB"/>
    <w:rsid w:val="682F23BA"/>
    <w:rsid w:val="6865412C"/>
    <w:rsid w:val="688F488E"/>
    <w:rsid w:val="69640653"/>
    <w:rsid w:val="69821807"/>
    <w:rsid w:val="6AA55D48"/>
    <w:rsid w:val="6AD00976"/>
    <w:rsid w:val="6B3709F5"/>
    <w:rsid w:val="6B4D1FC7"/>
    <w:rsid w:val="6BB21129"/>
    <w:rsid w:val="6BB7143C"/>
    <w:rsid w:val="6BCB0D9A"/>
    <w:rsid w:val="6E5051F4"/>
    <w:rsid w:val="6E7D50F5"/>
    <w:rsid w:val="6EFC202E"/>
    <w:rsid w:val="6F082D70"/>
    <w:rsid w:val="6F455548"/>
    <w:rsid w:val="6F8E0E92"/>
    <w:rsid w:val="71627D77"/>
    <w:rsid w:val="71ED323D"/>
    <w:rsid w:val="73BA67BE"/>
    <w:rsid w:val="750E0C09"/>
    <w:rsid w:val="758552B9"/>
    <w:rsid w:val="75863420"/>
    <w:rsid w:val="75D27C98"/>
    <w:rsid w:val="76014DC8"/>
    <w:rsid w:val="76B178AE"/>
    <w:rsid w:val="76CD6ED5"/>
    <w:rsid w:val="775965FB"/>
    <w:rsid w:val="77893D0D"/>
    <w:rsid w:val="77FD7C31"/>
    <w:rsid w:val="78DD0BA4"/>
    <w:rsid w:val="79003D12"/>
    <w:rsid w:val="791566C1"/>
    <w:rsid w:val="79D90ED9"/>
    <w:rsid w:val="79EB164D"/>
    <w:rsid w:val="7A9863B2"/>
    <w:rsid w:val="7B4E3D95"/>
    <w:rsid w:val="7C192462"/>
    <w:rsid w:val="7E922338"/>
    <w:rsid w:val="7EBB3358"/>
    <w:rsid w:val="7EC47165"/>
    <w:rsid w:val="7ECE2EB5"/>
    <w:rsid w:val="7F106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before="100" w:beforeAutospacing="1" w:after="0"/>
      <w:ind w:left="420" w:leftChars="200" w:firstLine="420" w:firstLineChars="200"/>
      <w:jc w:val="both"/>
      <w:textAlignment w:val="baseline"/>
    </w:pPr>
    <w:rPr>
      <w:rFonts w:ascii="Times New Roman" w:hAnsi="Times New Roman"/>
      <w:kern w:val="0"/>
      <w:sz w:val="24"/>
      <w:szCs w:val="24"/>
    </w:rPr>
  </w:style>
  <w:style w:type="paragraph" w:customStyle="1" w:styleId="3">
    <w:name w:val="BodyTextIndent"/>
    <w:basedOn w:val="1"/>
    <w:qFormat/>
    <w:uiPriority w:val="0"/>
    <w:pPr>
      <w:spacing w:after="120"/>
      <w:ind w:left="420" w:leftChars="200"/>
      <w:jc w:val="both"/>
      <w:textAlignment w:val="baseline"/>
    </w:pPr>
  </w:style>
  <w:style w:type="paragraph" w:styleId="4">
    <w:name w:val="Body Text Indent"/>
    <w:basedOn w:val="1"/>
    <w:qFormat/>
    <w:uiPriority w:val="0"/>
    <w:pPr>
      <w:spacing w:after="120" w:afterLines="0"/>
      <w:ind w:left="420" w:leftChars="200"/>
    </w:pPr>
  </w:style>
  <w:style w:type="paragraph" w:styleId="5">
    <w:name w:val="Block Text"/>
    <w:basedOn w:val="1"/>
    <w:qFormat/>
    <w:uiPriority w:val="0"/>
    <w:pPr>
      <w:spacing w:after="120"/>
      <w:ind w:left="1440" w:leftChars="700" w:right="1440" w:rightChars="7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next w:val="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unhideWhenUsed/>
    <w:qFormat/>
    <w:uiPriority w:val="0"/>
    <w:pPr>
      <w:adjustRightInd w:val="0"/>
      <w:snapToGrid w:val="0"/>
      <w:spacing w:after="0" w:afterLines="0" w:line="660" w:lineRule="exact"/>
      <w:ind w:left="0" w:leftChars="0" w:firstLine="420" w:firstLineChars="200"/>
    </w:pPr>
    <w:rPr>
      <w:rFonts w:ascii="仿宋_GB2312" w:eastAsia="仿宋_GB2312"/>
      <w:snapToGrid w:val="0"/>
      <w:kern w:val="0"/>
      <w:sz w:val="32"/>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3263</Words>
  <Characters>3624</Characters>
  <Lines>0</Lines>
  <Paragraphs>0</Paragraphs>
  <TotalTime>26</TotalTime>
  <ScaleCrop>false</ScaleCrop>
  <LinksUpToDate>false</LinksUpToDate>
  <CharactersWithSpaces>3685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avxx</cp:lastModifiedBy>
  <cp:lastPrinted>2022-07-18T07:50:00Z</cp:lastPrinted>
  <dcterms:modified xsi:type="dcterms:W3CDTF">2024-06-04T02:50:11Z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7EA8933997AE47778653B8AFF0F452AE_12</vt:lpwstr>
  </property>
</Properties>
</file>