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200" w:firstLineChars="500"/>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中共邵东市委办公室</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2022年整体支出绩效自评报告</w:t>
      </w:r>
    </w:p>
    <w:p>
      <w:pPr>
        <w:spacing w:line="600" w:lineRule="exact"/>
        <w:rPr>
          <w:rFonts w:ascii="仿宋_GB2312" w:hAnsi="仿宋_GB2312" w:eastAsia="仿宋_GB2312" w:cs="仿宋_GB2312"/>
          <w:sz w:val="28"/>
          <w:szCs w:val="28"/>
        </w:rPr>
      </w:pPr>
    </w:p>
    <w:p>
      <w:pPr>
        <w:spacing w:line="520" w:lineRule="exact"/>
        <w:ind w:firstLine="614" w:firstLineChars="192"/>
        <w:rPr>
          <w:rFonts w:ascii="黑体" w:hAnsi="黑体" w:eastAsia="黑体"/>
          <w:sz w:val="32"/>
          <w:szCs w:val="32"/>
        </w:rPr>
      </w:pPr>
      <w:r>
        <w:rPr>
          <w:rFonts w:hint="eastAsia" w:ascii="黑体" w:hAnsi="黑体" w:eastAsia="黑体"/>
          <w:sz w:val="32"/>
          <w:szCs w:val="32"/>
        </w:rPr>
        <w:t>一、部门（单位）基本概况</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1、部门（单位）职能及组成：保密；</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2、人员结构情况：</w:t>
      </w:r>
      <w:r>
        <w:rPr>
          <w:rFonts w:hint="eastAsia" w:ascii="宋体" w:hAnsi="宋体" w:cs="宋体"/>
          <w:sz w:val="28"/>
          <w:szCs w:val="28"/>
        </w:rPr>
        <w:t xml:space="preserve"> </w:t>
      </w:r>
      <w:r>
        <w:rPr>
          <w:rFonts w:hint="eastAsia" w:eastAsia="仿宋_GB2312"/>
          <w:sz w:val="32"/>
          <w:szCs w:val="32"/>
        </w:rPr>
        <w:t>截至2022年12月31日，我单位编制数为：行政编40个、工勤7个，年末实有人数为：行政编43人、工勤4人。退休人员26人。</w:t>
      </w:r>
    </w:p>
    <w:p>
      <w:pPr>
        <w:pStyle w:val="8"/>
        <w:ind w:firstLine="640" w:firstLineChars="200"/>
        <w:rPr>
          <w:rFonts w:ascii="仿宋" w:hAnsi="仿宋" w:eastAsia="仿宋"/>
          <w:sz w:val="32"/>
          <w:szCs w:val="32"/>
        </w:rPr>
      </w:pPr>
      <w:r>
        <w:rPr>
          <w:rFonts w:hint="eastAsia" w:ascii="仿宋" w:hAnsi="仿宋" w:eastAsia="仿宋"/>
          <w:sz w:val="32"/>
          <w:szCs w:val="32"/>
        </w:rPr>
        <w:t>3、2022年度财政收支：</w:t>
      </w:r>
    </w:p>
    <w:p>
      <w:pPr>
        <w:pStyle w:val="8"/>
        <w:ind w:firstLine="640" w:firstLineChars="200"/>
        <w:rPr>
          <w:rFonts w:hAnsi="黑体"/>
          <w:bCs/>
          <w:sz w:val="32"/>
          <w:szCs w:val="32"/>
        </w:rPr>
      </w:pPr>
      <w:r>
        <w:rPr>
          <w:rFonts w:hint="eastAsia" w:hAnsi="黑体" w:eastAsia="仿宋"/>
          <w:bCs/>
          <w:sz w:val="32"/>
          <w:szCs w:val="32"/>
        </w:rPr>
        <w:t>（1）</w:t>
      </w:r>
      <w:r>
        <w:rPr>
          <w:rFonts w:hint="eastAsia" w:hAnsi="黑体"/>
          <w:bCs/>
          <w:sz w:val="32"/>
          <w:szCs w:val="32"/>
        </w:rPr>
        <w:t>收入支出决算总体情况</w:t>
      </w:r>
    </w:p>
    <w:p>
      <w:pPr>
        <w:pStyle w:val="8"/>
        <w:ind w:firstLine="640" w:firstLineChars="200"/>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2022年度收、支总计1251</w:t>
      </w:r>
      <w:r>
        <w:rPr>
          <w:rFonts w:ascii="仿宋" w:hAnsi="仿宋" w:eastAsia="仿宋" w:cs="Times New Roman"/>
          <w:color w:val="auto"/>
          <w:kern w:val="2"/>
          <w:sz w:val="32"/>
          <w:szCs w:val="32"/>
        </w:rPr>
        <w:t>.</w:t>
      </w:r>
      <w:r>
        <w:rPr>
          <w:rFonts w:hint="eastAsia" w:ascii="仿宋" w:hAnsi="仿宋" w:eastAsia="仿宋" w:cs="Times New Roman"/>
          <w:color w:val="auto"/>
          <w:kern w:val="2"/>
          <w:sz w:val="32"/>
          <w:szCs w:val="32"/>
        </w:rPr>
        <w:t>5</w:t>
      </w:r>
      <w:r>
        <w:rPr>
          <w:rFonts w:ascii="仿宋" w:hAnsi="仿宋" w:eastAsia="仿宋" w:cs="Times New Roman"/>
          <w:color w:val="auto"/>
          <w:kern w:val="2"/>
          <w:sz w:val="32"/>
          <w:szCs w:val="32"/>
        </w:rPr>
        <w:t>9</w:t>
      </w:r>
      <w:r>
        <w:rPr>
          <w:rFonts w:hint="eastAsia" w:ascii="仿宋" w:hAnsi="仿宋" w:eastAsia="仿宋" w:cs="Times New Roman"/>
          <w:color w:val="auto"/>
          <w:kern w:val="2"/>
          <w:sz w:val="32"/>
          <w:szCs w:val="32"/>
        </w:rPr>
        <w:t>万元。与上年相比，增加</w:t>
      </w:r>
      <w:r>
        <w:rPr>
          <w:rFonts w:ascii="仿宋" w:hAnsi="仿宋" w:eastAsia="仿宋" w:cs="Times New Roman"/>
          <w:color w:val="auto"/>
          <w:kern w:val="2"/>
          <w:sz w:val="32"/>
          <w:szCs w:val="32"/>
        </w:rPr>
        <w:t>220.55</w:t>
      </w:r>
      <w:r>
        <w:rPr>
          <w:rFonts w:hint="eastAsia" w:ascii="仿宋" w:hAnsi="仿宋" w:eastAsia="仿宋" w:cs="Times New Roman"/>
          <w:color w:val="auto"/>
          <w:kern w:val="2"/>
          <w:sz w:val="32"/>
          <w:szCs w:val="32"/>
        </w:rPr>
        <w:t>万元，增加</w:t>
      </w:r>
      <w:r>
        <w:rPr>
          <w:rFonts w:ascii="仿宋" w:hAnsi="仿宋" w:eastAsia="仿宋" w:cs="Times New Roman"/>
          <w:color w:val="auto"/>
          <w:kern w:val="2"/>
          <w:sz w:val="32"/>
          <w:szCs w:val="32"/>
        </w:rPr>
        <w:t>17.62</w:t>
      </w:r>
      <w:r>
        <w:rPr>
          <w:rFonts w:hint="eastAsia" w:ascii="仿宋" w:hAnsi="仿宋" w:eastAsia="仿宋" w:cs="Times New Roman"/>
          <w:color w:val="auto"/>
          <w:kern w:val="2"/>
          <w:sz w:val="32"/>
          <w:szCs w:val="32"/>
        </w:rPr>
        <w:t>%。</w:t>
      </w:r>
    </w:p>
    <w:p>
      <w:pPr>
        <w:pStyle w:val="8"/>
        <w:ind w:firstLine="640" w:firstLineChars="200"/>
        <w:rPr>
          <w:rFonts w:hAnsi="黑体"/>
          <w:bCs/>
          <w:sz w:val="32"/>
          <w:szCs w:val="32"/>
        </w:rPr>
      </w:pPr>
      <w:r>
        <w:rPr>
          <w:rFonts w:hint="eastAsia" w:hAnsi="黑体"/>
          <w:bCs/>
          <w:sz w:val="32"/>
          <w:szCs w:val="32"/>
        </w:rPr>
        <w:t>（2）收入决算情况</w:t>
      </w:r>
    </w:p>
    <w:p>
      <w:pPr>
        <w:pStyle w:val="8"/>
        <w:ind w:firstLine="640" w:firstLineChars="200"/>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本年收入合计1251.59万元，其中：财政拨款收入1251.59万元，占100%；上级补助收入0万元，占0%；事业收入0万元，占0%；经营收入0万元，占0%；附属单位上缴收入0万元，占0%；其他收入0万元，占0%。</w:t>
      </w:r>
    </w:p>
    <w:p>
      <w:pPr>
        <w:pStyle w:val="8"/>
        <w:ind w:firstLine="640" w:firstLineChars="200"/>
        <w:rPr>
          <w:rFonts w:hAnsi="黑体"/>
          <w:bCs/>
          <w:sz w:val="32"/>
          <w:szCs w:val="32"/>
        </w:rPr>
      </w:pPr>
      <w:r>
        <w:rPr>
          <w:rFonts w:hint="eastAsia" w:hAnsi="黑体"/>
          <w:bCs/>
          <w:sz w:val="32"/>
          <w:szCs w:val="32"/>
        </w:rPr>
        <w:t>（3）支出决算情况</w:t>
      </w:r>
    </w:p>
    <w:p>
      <w:pPr>
        <w:pStyle w:val="8"/>
        <w:ind w:firstLine="640" w:firstLineChars="200"/>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本年支出合计1251.59万元，其中：基本支出970.45万元，占77.54%；项目支出281.14万元，占22.46%；上缴上级支出0万元，占0%；经营支出0万元，占0%；对附属单位补助支出0万元，占0%。</w:t>
      </w:r>
    </w:p>
    <w:p>
      <w:pPr>
        <w:pStyle w:val="8"/>
        <w:ind w:firstLine="640" w:firstLineChars="200"/>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（4）财政拨款收入支出决算总体情况</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 xml:space="preserve"> 2022年度财政拨款收、支总计1251.59万元，与上年相比，增加220.55万元,增加17.62%。</w:t>
      </w:r>
    </w:p>
    <w:p>
      <w:pPr>
        <w:numPr>
          <w:ilvl w:val="0"/>
          <w:numId w:val="1"/>
        </w:numPr>
        <w:spacing w:line="520" w:lineRule="exact"/>
        <w:ind w:firstLine="614" w:firstLineChars="192"/>
        <w:rPr>
          <w:rFonts w:ascii="仿宋" w:hAnsi="仿宋" w:eastAsia="仿宋"/>
          <w:sz w:val="32"/>
          <w:szCs w:val="32"/>
        </w:rPr>
      </w:pPr>
      <w:r>
        <w:rPr>
          <w:rFonts w:hint="eastAsia" w:ascii="仿宋" w:hAnsi="仿宋" w:eastAsia="仿宋"/>
          <w:sz w:val="32"/>
          <w:szCs w:val="32"/>
        </w:rPr>
        <w:t>年末固定资产状况：本单位共有车辆1辆。</w:t>
      </w:r>
    </w:p>
    <w:p>
      <w:pPr>
        <w:numPr>
          <w:ilvl w:val="0"/>
          <w:numId w:val="1"/>
        </w:numPr>
        <w:spacing w:line="520" w:lineRule="exact"/>
        <w:ind w:firstLine="614" w:firstLineChars="192"/>
        <w:rPr>
          <w:rFonts w:ascii="仿宋" w:hAnsi="仿宋" w:eastAsia="仿宋"/>
          <w:sz w:val="32"/>
          <w:szCs w:val="32"/>
        </w:rPr>
      </w:pPr>
      <w:r>
        <w:rPr>
          <w:rFonts w:hint="eastAsia" w:ascii="仿宋" w:hAnsi="仿宋" w:eastAsia="仿宋"/>
          <w:sz w:val="32"/>
          <w:szCs w:val="32"/>
        </w:rPr>
        <w:t>财政财务管理制度及执行情况：2022年“三公”经费财政拨款支出决算为8.9万元，完成预算的44.5%；机关运行经费支出191.12万元，比年初预算数增加70.72万元，增加37%；开支会议费14.28万元，用于召开全市六项重点工作等会议；开支培训费5.8万元。</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二、部门（单位）整体支出绩效状况</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2022年是我市奋力打造“三张名片”、努力建设“三个邵东”的关键之年，也是市委办公室各项工作再上新台阶的重要一年。一年来，在市委的正确领导下，市委办公室充分发挥综合协调和参谋助手职能作用，不断完善服务理念，全面提升服务水平，圆满完成了全年各项工作任务，为我市经济社会发展作出了新的贡献。</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1、坚持把政治建设摆在首位</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加强学习教育。一是学习宣传党的二十大精神。通过采取支部党员大会集中学、党小组会议分别学、干部闲时自己学等形式，认真学习了习近平新时代中国特色社会主义思想和党的二十大精神等重要理论知识；组织全体干部写心得体会、做学习笔记，并在专题主题党日活动就如何落实二十大精神进行交流发言，谈心得体会、找差距、补不足，确保每名党员干部学懂弄通做实，不断将二十大精神学习成效转化为做好工作的内在动力。二是推动班子成员理论学习规范化。制定了《2022年度市委办班子理论学习中心组学习年度实施方案》和年度学习计划，严格按照“六环节”要求，每月至少组织一次集中学习，做到人员、时间、内容、效果四方面落实。三是推动干部职工理论学习常态化。共组织12次干部职工集中学习、2次理论学习中心组扩大学习；督促干部按时、按要求完成湖南省干部在线教育网络学院学习任务；组织干部认真学习普法知识，并顺利通过普法考试。</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坚持把政治责任压实扛牢</w:t>
      </w:r>
    </w:p>
    <w:p>
      <w:pPr>
        <w:spacing w:line="520" w:lineRule="exact"/>
        <w:ind w:firstLine="614" w:firstLineChars="192"/>
        <w:rPr>
          <w:rFonts w:ascii="仿宋" w:hAnsi="仿宋" w:eastAsia="仿宋"/>
          <w:sz w:val="32"/>
          <w:szCs w:val="32"/>
        </w:rPr>
      </w:pPr>
      <w:r>
        <w:rPr>
          <w:rFonts w:ascii="仿宋" w:hAnsi="仿宋" w:eastAsia="仿宋"/>
          <w:sz w:val="32"/>
          <w:szCs w:val="32"/>
        </w:rPr>
        <w:t>发挥辅政“智囊”作用</w:t>
      </w:r>
      <w:r>
        <w:rPr>
          <w:rFonts w:hint="eastAsia" w:ascii="仿宋" w:hAnsi="仿宋" w:eastAsia="仿宋"/>
          <w:sz w:val="32"/>
          <w:szCs w:val="32"/>
        </w:rPr>
        <w:t>。积极服务市委中心工作，认真起草各类文稿，努力做到上级精神与本地实际相结合、共性要求与个性特点相结合，先后完成疫情防控、乡村振兴、重点项目建设、产业发展等工作中领导交办的文稿工作。</w:t>
      </w:r>
    </w:p>
    <w:p>
      <w:pPr>
        <w:spacing w:line="520" w:lineRule="exact"/>
        <w:ind w:firstLine="614" w:firstLineChars="192"/>
        <w:rPr>
          <w:rFonts w:ascii="仿宋" w:hAnsi="仿宋" w:eastAsia="仿宋"/>
          <w:sz w:val="32"/>
          <w:szCs w:val="32"/>
        </w:rPr>
      </w:pPr>
      <w:r>
        <w:rPr>
          <w:rFonts w:ascii="仿宋" w:hAnsi="仿宋" w:eastAsia="仿宋"/>
          <w:sz w:val="32"/>
          <w:szCs w:val="32"/>
        </w:rPr>
        <w:t>发挥</w:t>
      </w:r>
      <w:r>
        <w:rPr>
          <w:rFonts w:hint="eastAsia" w:ascii="仿宋" w:hAnsi="仿宋" w:eastAsia="仿宋"/>
          <w:sz w:val="32"/>
          <w:szCs w:val="32"/>
        </w:rPr>
        <w:t>信息</w:t>
      </w:r>
      <w:r>
        <w:rPr>
          <w:rFonts w:ascii="仿宋" w:hAnsi="仿宋" w:eastAsia="仿宋"/>
          <w:sz w:val="32"/>
          <w:szCs w:val="32"/>
        </w:rPr>
        <w:t>“前哨”作用</w:t>
      </w:r>
      <w:r>
        <w:rPr>
          <w:rFonts w:hint="eastAsia" w:ascii="仿宋" w:hAnsi="仿宋" w:eastAsia="仿宋"/>
          <w:sz w:val="32"/>
          <w:szCs w:val="32"/>
        </w:rPr>
        <w:t>。坚持“信息工作无假日”原则，通过内网、邮箱、值班手机上报各类信息167条。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3、坚持把政治担当贯穿始终</w:t>
      </w:r>
    </w:p>
    <w:p>
      <w:pPr>
        <w:spacing w:line="520" w:lineRule="exact"/>
        <w:ind w:firstLine="614" w:firstLineChars="192"/>
        <w:rPr>
          <w:rFonts w:ascii="仿宋" w:hAnsi="仿宋" w:eastAsia="仿宋"/>
          <w:sz w:val="32"/>
          <w:szCs w:val="32"/>
        </w:rPr>
      </w:pPr>
      <w:r>
        <w:rPr>
          <w:rFonts w:ascii="仿宋" w:hAnsi="仿宋" w:eastAsia="仿宋"/>
          <w:sz w:val="32"/>
          <w:szCs w:val="32"/>
        </w:rPr>
        <w:t>在</w:t>
      </w:r>
      <w:r>
        <w:rPr>
          <w:rFonts w:hint="eastAsia" w:ascii="仿宋" w:hAnsi="仿宋" w:eastAsia="仿宋"/>
          <w:sz w:val="32"/>
          <w:szCs w:val="32"/>
        </w:rPr>
        <w:t>督查检查</w:t>
      </w:r>
      <w:r>
        <w:rPr>
          <w:rFonts w:ascii="仿宋" w:hAnsi="仿宋" w:eastAsia="仿宋"/>
          <w:sz w:val="32"/>
          <w:szCs w:val="32"/>
        </w:rPr>
        <w:t>上勇担当</w:t>
      </w:r>
      <w:r>
        <w:rPr>
          <w:rFonts w:hint="eastAsia" w:ascii="仿宋" w:hAnsi="仿宋" w:eastAsia="仿宋"/>
          <w:sz w:val="32"/>
          <w:szCs w:val="32"/>
        </w:rPr>
        <w:t>。紧跟中央、省委、邵阳市委和邵东市委战略部署，坚持围绕中心、服务大局，充分发挥了督查抓落实促发展“利器”作用，把推动重大决策部署落实作为督查工作重点。制定了《2022年度督查检查考核计划》，实行督查年度计划和审批报备制度，明确了2022年督查事项缩减至21个。</w:t>
      </w:r>
    </w:p>
    <w:p>
      <w:pPr>
        <w:spacing w:line="520" w:lineRule="exact"/>
        <w:ind w:firstLine="614" w:firstLineChars="192"/>
      </w:pPr>
      <w:r>
        <w:rPr>
          <w:rFonts w:hint="eastAsia" w:ascii="仿宋" w:hAnsi="仿宋" w:eastAsia="仿宋"/>
          <w:sz w:val="32"/>
          <w:szCs w:val="32"/>
        </w:rPr>
        <w:t>根据对我单位2022年部门整体支出项目绩效评价指标体系和绩效情况的检查，2022年我单位部门整体绩效自评分97分，为“优秀”等级。</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三、存在的问题及原因</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1、制度难以完全落实。单位虽然建立了财政资金预算管理制度，但是该制度却没有真正发挥作用，主要是侧重点没有放在管理上，没有认识到精细化管理的重要性。</w:t>
      </w:r>
    </w:p>
    <w:p>
      <w:pPr>
        <w:widowControl/>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2、绩效管理制度存在缺陷。财政部门对绩效管理制度应用较少，熟练程度有待提高。因缺乏相关绩效考核部门，通常对财政资金的使用绩效评价也只会在重要的环节进行，无法将绩效考核应用于整个财政项目之中。</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四、提高财政资金绩效的措施与建议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1、进一步加强绩效管理工作的领导，建立健全工作机制，通过完善的制度体系保障预算绩效管理工作有效开展。 </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 xml:space="preserve"> 2、细化预算编制工作，扎实做好年初预算的编制工作，进一步加强我单位的预算管理意识，尽量做到编制范围全覆盖，不漏项。</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3、加强财务核算工作，提高财务的精细化管理，确保财务核算的真实、及时、准确、完整。</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五、附件（佐证依据）</w:t>
      </w:r>
    </w:p>
    <w:p>
      <w:pPr>
        <w:spacing w:line="520" w:lineRule="exact"/>
        <w:ind w:firstLine="614" w:firstLineChars="192"/>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黑体" w:hAnsi="黑体" w:eastAsia="黑体" w:cs="方正小标宋简体"/>
          <w:color w:val="000000"/>
          <w:kern w:val="0"/>
          <w:sz w:val="32"/>
          <w:szCs w:val="32"/>
        </w:rPr>
      </w:pPr>
    </w:p>
    <w:p>
      <w:pPr>
        <w:spacing w:line="520" w:lineRule="exact"/>
        <w:rPr>
          <w:rFonts w:ascii="黑体" w:hAnsi="黑体" w:eastAsia="黑体" w:cs="方正小标宋简体"/>
          <w:color w:val="000000"/>
          <w:kern w:val="0"/>
          <w:sz w:val="32"/>
          <w:szCs w:val="32"/>
        </w:rPr>
      </w:pPr>
    </w:p>
    <w:p>
      <w:pPr>
        <w:spacing w:line="520" w:lineRule="exact"/>
        <w:rPr>
          <w:rFonts w:ascii="黑体" w:hAnsi="黑体" w:eastAsia="黑体" w:cs="方正小标宋简体"/>
          <w:color w:val="000000"/>
          <w:kern w:val="0"/>
          <w:sz w:val="32"/>
          <w:szCs w:val="32"/>
        </w:rPr>
      </w:pPr>
      <w:r>
        <w:rPr>
          <w:rFonts w:hint="eastAsia" w:ascii="黑体" w:hAnsi="黑体" w:eastAsia="黑体" w:cs="方正小标宋简体"/>
          <w:color w:val="000000"/>
          <w:kern w:val="0"/>
          <w:sz w:val="32"/>
          <w:szCs w:val="32"/>
        </w:rPr>
        <w:t>　　　　　　　　　　　　　　　　中共邵东市委办公室</w:t>
      </w:r>
    </w:p>
    <w:p>
      <w:pPr>
        <w:pStyle w:val="2"/>
        <w:ind w:firstLine="640"/>
      </w:pPr>
      <w:r>
        <w:rPr>
          <w:rFonts w:hint="eastAsia" w:ascii="黑体" w:hAnsi="黑体" w:eastAsia="黑体" w:cs="方正小标宋简体"/>
          <w:color w:val="000000"/>
          <w:kern w:val="0"/>
          <w:szCs w:val="32"/>
        </w:rPr>
        <w:t>　　　　　　　　　　　　　　2023年8月28日</w:t>
      </w:r>
    </w:p>
    <w:p>
      <w:pPr>
        <w:spacing w:line="520" w:lineRule="exact"/>
        <w:rPr>
          <w:rFonts w:ascii="黑体" w:hAnsi="黑体" w:eastAsia="黑体" w:cs="方正小标宋简体"/>
          <w:color w:val="000000"/>
          <w:kern w:val="0"/>
          <w:sz w:val="32"/>
          <w:szCs w:val="32"/>
        </w:rPr>
      </w:pPr>
    </w:p>
    <w:p>
      <w:pPr>
        <w:spacing w:line="520" w:lineRule="exact"/>
        <w:rPr>
          <w:rFonts w:ascii="黑体" w:hAnsi="黑体" w:eastAsia="黑体" w:cs="方正小标宋简体"/>
          <w:color w:val="000000"/>
          <w:kern w:val="0"/>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jc w:val="right"/>
    </w:pPr>
    <w:r>
      <w:fldChar w:fldCharType="begin"/>
    </w:r>
    <w:r>
      <w:instrText xml:space="preserve"> PAGE   \* MERGEFORMAT </w:instrText>
    </w:r>
    <w:r>
      <w:fldChar w:fldCharType="separate"/>
    </w:r>
    <w:r>
      <w:rPr>
        <w:lang w:val="zh-CN"/>
      </w:rPr>
      <w:t>1</w:t>
    </w:r>
    <w: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43F4C"/>
    <w:multiLevelType w:val="singleLevel"/>
    <w:tmpl w:val="A4B43F4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ZTA4NGJkM2E4NDQyOWVmMmE5YWE2NTg0MGYzZWYifQ=="/>
  </w:docVars>
  <w:rsids>
    <w:rsidRoot w:val="196F0AFF"/>
    <w:rsid w:val="00714F47"/>
    <w:rsid w:val="0081373C"/>
    <w:rsid w:val="008D703C"/>
    <w:rsid w:val="00CD11E5"/>
    <w:rsid w:val="00F94637"/>
    <w:rsid w:val="0BB6608C"/>
    <w:rsid w:val="0E0C1FE6"/>
    <w:rsid w:val="0E846758"/>
    <w:rsid w:val="0ECC3351"/>
    <w:rsid w:val="196F0AFF"/>
    <w:rsid w:val="1A4F5E12"/>
    <w:rsid w:val="23A326A5"/>
    <w:rsid w:val="2DAB1AC4"/>
    <w:rsid w:val="344372F3"/>
    <w:rsid w:val="39071389"/>
    <w:rsid w:val="48DD5382"/>
    <w:rsid w:val="4DD57ED9"/>
    <w:rsid w:val="509F0887"/>
    <w:rsid w:val="602A4DAF"/>
    <w:rsid w:val="6DA12289"/>
    <w:rsid w:val="70DE59ED"/>
    <w:rsid w:val="71F66673"/>
    <w:rsid w:val="7D2E2837"/>
    <w:rsid w:val="7FCB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qFormat/>
    <w:uiPriority w:val="0"/>
    <w:pPr>
      <w:ind w:left="420"/>
    </w:pPr>
    <w:rPr>
      <w:rFonts w:ascii="楷体_GB2312" w:eastAsia="楷体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457</Words>
  <Characters>2607</Characters>
  <Lines>21</Lines>
  <Paragraphs>6</Paragraphs>
  <TotalTime>3</TotalTime>
  <ScaleCrop>false</ScaleCrop>
  <LinksUpToDate>false</LinksUpToDate>
  <CharactersWithSpaces>3058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2022-09-06T07:57:00Z</dcterms:created>
  <dc:creator>文龄</dc:creator>
  <cp:lastModifiedBy>胡刚强</cp:lastModifiedBy>
  <dcterms:modified xsi:type="dcterms:W3CDTF">2023-12-20T08:30:50Z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693F96350CD84285A2FD43D15DB3DEFA_13</vt:lpwstr>
  </property>
</Properties>
</file>